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DA" w:rsidRDefault="00363CDA" w:rsidP="00363CDA">
      <w:pPr>
        <w:jc w:val="center"/>
        <w:rPr>
          <w:rFonts w:ascii="Times New Roman Bold" w:hAnsi="Times New Roman Bold" w:cs="Times New Roman"/>
          <w:b/>
          <w:smallCaps/>
          <w:sz w:val="40"/>
          <w:szCs w:val="40"/>
        </w:rPr>
      </w:pPr>
    </w:p>
    <w:p w:rsidR="00363CDA" w:rsidRDefault="00363CDA" w:rsidP="00363CDA">
      <w:pPr>
        <w:jc w:val="center"/>
        <w:rPr>
          <w:rFonts w:ascii="Times New Roman Bold" w:hAnsi="Times New Roman Bold" w:cs="Times New Roman"/>
          <w:b/>
          <w:smallCaps/>
          <w:sz w:val="40"/>
          <w:szCs w:val="40"/>
        </w:rPr>
      </w:pPr>
    </w:p>
    <w:p w:rsidR="00363CDA" w:rsidRPr="006C1AD2" w:rsidRDefault="00363CDA" w:rsidP="00363CDA">
      <w:pPr>
        <w:jc w:val="center"/>
        <w:rPr>
          <w:rFonts w:ascii="Times New Roman Bold" w:hAnsi="Times New Roman Bold" w:cs="Times New Roman"/>
          <w:b/>
          <w:smallCaps/>
          <w:sz w:val="40"/>
          <w:szCs w:val="40"/>
        </w:rPr>
      </w:pPr>
      <w:r>
        <w:rPr>
          <w:rFonts w:ascii="Times New Roman Bold" w:hAnsi="Times New Roman Bold" w:cs="Times New Roman"/>
          <w:b/>
          <w:smallCaps/>
          <w:sz w:val="40"/>
          <w:szCs w:val="40"/>
        </w:rPr>
        <w:t>Giving Practical FBAR Advice</w:t>
      </w:r>
    </w:p>
    <w:p w:rsidR="00363CDA" w:rsidRDefault="00363CDA" w:rsidP="00363CDA">
      <w:pPr>
        <w:rPr>
          <w:rFonts w:ascii="Times New Roman Bold" w:hAnsi="Times New Roman Bold" w:cs="Times New Roman"/>
          <w:b/>
          <w:smallCaps/>
          <w:szCs w:val="24"/>
        </w:rPr>
      </w:pPr>
    </w:p>
    <w:p w:rsidR="00363CDA" w:rsidRDefault="00363CDA" w:rsidP="00363CDA">
      <w:pPr>
        <w:rPr>
          <w:rFonts w:ascii="Times New Roman Bold" w:hAnsi="Times New Roman Bold" w:cs="Times New Roman"/>
          <w:b/>
          <w:smallCaps/>
          <w:szCs w:val="24"/>
        </w:rPr>
      </w:pPr>
    </w:p>
    <w:p w:rsidR="00363CDA" w:rsidRDefault="00363CDA" w:rsidP="00363CDA">
      <w:pPr>
        <w:jc w:val="center"/>
        <w:rPr>
          <w:rFonts w:ascii="Times New Roman Bold" w:hAnsi="Times New Roman Bold" w:cs="Times New Roman"/>
          <w:b/>
          <w:smallCaps/>
          <w:szCs w:val="24"/>
        </w:rPr>
      </w:pPr>
      <w:r>
        <w:rPr>
          <w:rFonts w:ascii="Times New Roman Bold" w:hAnsi="Times New Roman Bold" w:cs="Times New Roman"/>
          <w:b/>
          <w:smallCaps/>
          <w:szCs w:val="24"/>
        </w:rPr>
        <w:t xml:space="preserve">Materials for the December 17, 2012 Meeting </w:t>
      </w:r>
    </w:p>
    <w:p w:rsidR="00363CDA" w:rsidRDefault="00363CDA" w:rsidP="00363CDA">
      <w:pPr>
        <w:jc w:val="center"/>
        <w:rPr>
          <w:rFonts w:ascii="Times New Roman Bold" w:hAnsi="Times New Roman Bold" w:cs="Times New Roman"/>
          <w:b/>
          <w:smallCaps/>
          <w:szCs w:val="24"/>
        </w:rPr>
      </w:pPr>
      <w:r>
        <w:rPr>
          <w:rFonts w:ascii="Times New Roman Bold" w:hAnsi="Times New Roman Bold" w:cs="Times New Roman"/>
          <w:b/>
          <w:smallCaps/>
          <w:szCs w:val="24"/>
        </w:rPr>
        <w:t>of</w:t>
      </w:r>
    </w:p>
    <w:p w:rsidR="00363CDA" w:rsidRDefault="00363CDA" w:rsidP="00363CDA">
      <w:pPr>
        <w:jc w:val="center"/>
        <w:rPr>
          <w:rFonts w:ascii="Times New Roman Bold" w:hAnsi="Times New Roman Bold" w:cs="Times New Roman"/>
          <w:b/>
          <w:smallCaps/>
          <w:szCs w:val="24"/>
        </w:rPr>
      </w:pPr>
      <w:r>
        <w:rPr>
          <w:rFonts w:ascii="Times New Roman Bold" w:hAnsi="Times New Roman Bold" w:cs="Times New Roman"/>
          <w:b/>
          <w:smallCaps/>
          <w:szCs w:val="24"/>
        </w:rPr>
        <w:t>The Allegheny Tax Society</w:t>
      </w:r>
    </w:p>
    <w:p w:rsidR="00363CDA" w:rsidRDefault="00363CDA" w:rsidP="00363CDA">
      <w:pPr>
        <w:jc w:val="center"/>
        <w:rPr>
          <w:rFonts w:ascii="Times New Roman Bold" w:hAnsi="Times New Roman Bold" w:cs="Times New Roman"/>
          <w:b/>
          <w:smallCaps/>
          <w:szCs w:val="24"/>
        </w:rPr>
      </w:pPr>
    </w:p>
    <w:p w:rsidR="00363CDA" w:rsidRDefault="00363CDA" w:rsidP="00363CDA">
      <w:pPr>
        <w:jc w:val="center"/>
        <w:rPr>
          <w:rFonts w:ascii="Times New Roman Bold" w:hAnsi="Times New Roman Bold" w:cs="Times New Roman"/>
          <w:b/>
          <w:smallCaps/>
          <w:szCs w:val="24"/>
        </w:rPr>
      </w:pPr>
    </w:p>
    <w:p w:rsidR="00363CDA" w:rsidRDefault="00363CDA" w:rsidP="00363CDA">
      <w:pPr>
        <w:jc w:val="center"/>
        <w:rPr>
          <w:rFonts w:ascii="Times New Roman Bold" w:hAnsi="Times New Roman Bold" w:cs="Times New Roman"/>
          <w:b/>
          <w:szCs w:val="24"/>
        </w:rPr>
      </w:pPr>
    </w:p>
    <w:p w:rsidR="00363CDA" w:rsidRPr="006C1AD2" w:rsidRDefault="00363CDA" w:rsidP="00363CDA">
      <w:pPr>
        <w:jc w:val="center"/>
        <w:rPr>
          <w:rFonts w:ascii="Times New Roman Bold" w:hAnsi="Times New Roman Bold" w:cs="Times New Roman"/>
          <w:smallCaps/>
          <w:szCs w:val="24"/>
        </w:rPr>
      </w:pPr>
      <w:r w:rsidRPr="006C1AD2">
        <w:rPr>
          <w:rFonts w:ascii="Times New Roman Bold" w:hAnsi="Times New Roman Bold" w:cs="Times New Roman"/>
          <w:smallCaps/>
          <w:szCs w:val="24"/>
        </w:rPr>
        <w:t>Stephen J. Pieklik</w:t>
      </w:r>
    </w:p>
    <w:p w:rsidR="00363CDA" w:rsidRPr="006C1AD2" w:rsidRDefault="00363CDA" w:rsidP="00363CDA">
      <w:pPr>
        <w:jc w:val="center"/>
        <w:rPr>
          <w:rFonts w:ascii="Times New Roman Bold" w:hAnsi="Times New Roman Bold" w:cs="Times New Roman"/>
          <w:szCs w:val="24"/>
        </w:rPr>
      </w:pPr>
      <w:r w:rsidRPr="006C1AD2">
        <w:rPr>
          <w:rFonts w:ascii="Times New Roman Bold" w:hAnsi="Times New Roman Bold" w:cs="Times New Roman"/>
          <w:szCs w:val="24"/>
        </w:rPr>
        <w:t>Williams Coulson Johnson Lloyd Parker &amp; Tedesco, LLC</w:t>
      </w:r>
    </w:p>
    <w:p w:rsidR="00363CDA" w:rsidRPr="006C1AD2" w:rsidRDefault="00363CDA" w:rsidP="00363CDA">
      <w:pPr>
        <w:jc w:val="center"/>
        <w:rPr>
          <w:rFonts w:ascii="Times New Roman Bold" w:hAnsi="Times New Roman Bold" w:cs="Times New Roman"/>
          <w:szCs w:val="24"/>
        </w:rPr>
      </w:pPr>
      <w:r w:rsidRPr="006C1AD2">
        <w:rPr>
          <w:rFonts w:ascii="Times New Roman Bold" w:hAnsi="Times New Roman Bold" w:cs="Times New Roman"/>
          <w:szCs w:val="24"/>
        </w:rPr>
        <w:t>One Gateway Center, 16</w:t>
      </w:r>
      <w:r w:rsidRPr="006C1AD2">
        <w:rPr>
          <w:rFonts w:ascii="Times New Roman Bold" w:hAnsi="Times New Roman Bold" w:cs="Times New Roman"/>
          <w:szCs w:val="24"/>
          <w:vertAlign w:val="superscript"/>
        </w:rPr>
        <w:t>th</w:t>
      </w:r>
      <w:r w:rsidRPr="006C1AD2">
        <w:rPr>
          <w:rFonts w:ascii="Times New Roman Bold" w:hAnsi="Times New Roman Bold" w:cs="Times New Roman"/>
          <w:szCs w:val="24"/>
        </w:rPr>
        <w:t xml:space="preserve"> Floor</w:t>
      </w:r>
    </w:p>
    <w:p w:rsidR="00363CDA" w:rsidRDefault="00363CDA" w:rsidP="00363CDA">
      <w:pPr>
        <w:jc w:val="center"/>
        <w:rPr>
          <w:rFonts w:ascii="Times New Roman Bold" w:hAnsi="Times New Roman Bold" w:cs="Times New Roman"/>
          <w:szCs w:val="24"/>
        </w:rPr>
      </w:pPr>
      <w:r w:rsidRPr="006C1AD2">
        <w:rPr>
          <w:rFonts w:ascii="Times New Roman Bold" w:hAnsi="Times New Roman Bold" w:cs="Times New Roman"/>
          <w:szCs w:val="24"/>
        </w:rPr>
        <w:t>Pittsburgh, PA 15222</w:t>
      </w:r>
    </w:p>
    <w:p w:rsidR="00363CDA" w:rsidRDefault="00363CDA" w:rsidP="00363CDA">
      <w:pPr>
        <w:jc w:val="center"/>
        <w:rPr>
          <w:rFonts w:ascii="Times New Roman Bold" w:hAnsi="Times New Roman Bold" w:cs="Times New Roman"/>
          <w:szCs w:val="24"/>
        </w:rPr>
      </w:pPr>
      <w:r>
        <w:rPr>
          <w:rFonts w:ascii="Times New Roman Bold" w:hAnsi="Times New Roman Bold" w:cs="Times New Roman"/>
          <w:szCs w:val="24"/>
        </w:rPr>
        <w:t>412-454-0229</w:t>
      </w:r>
    </w:p>
    <w:p w:rsidR="00363CDA" w:rsidRDefault="00363CDA" w:rsidP="00363CDA">
      <w:pPr>
        <w:jc w:val="center"/>
        <w:rPr>
          <w:rFonts w:ascii="Times New Roman Bold" w:hAnsi="Times New Roman Bold" w:cs="Times New Roman"/>
          <w:szCs w:val="24"/>
        </w:rPr>
      </w:pPr>
      <w:r>
        <w:rPr>
          <w:rFonts w:ascii="Times New Roman Bold" w:hAnsi="Times New Roman Bold" w:cs="Times New Roman"/>
          <w:szCs w:val="24"/>
        </w:rPr>
        <w:t>spieklik@williamscoulson.com</w:t>
      </w:r>
    </w:p>
    <w:p w:rsidR="00363CDA" w:rsidRDefault="00363CDA">
      <w:pPr>
        <w:sectPr w:rsidR="00363CDA" w:rsidSect="00C04C4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363CDA" w:rsidRPr="00363CDA" w:rsidRDefault="00363CDA" w:rsidP="00363CDA">
      <w:pPr>
        <w:jc w:val="center"/>
        <w:rPr>
          <w:u w:val="single"/>
        </w:rPr>
      </w:pPr>
      <w:r>
        <w:rPr>
          <w:u w:val="single"/>
        </w:rPr>
        <w:lastRenderedPageBreak/>
        <w:t>GIVING PRACTICAL FBAR ADVICE</w:t>
      </w:r>
    </w:p>
    <w:p w:rsidR="00363CDA" w:rsidRDefault="00363CDA"/>
    <w:p w:rsidR="004F01D3" w:rsidRPr="001D3640" w:rsidRDefault="001448C7">
      <w:pPr>
        <w:rPr>
          <w:b/>
          <w:sz w:val="22"/>
        </w:rPr>
      </w:pPr>
      <w:r w:rsidRPr="001D3640">
        <w:rPr>
          <w:b/>
          <w:sz w:val="22"/>
        </w:rPr>
        <w:t xml:space="preserve">I . </w:t>
      </w:r>
      <w:r w:rsidR="008C64C8" w:rsidRPr="001D3640">
        <w:rPr>
          <w:b/>
          <w:sz w:val="22"/>
        </w:rPr>
        <w:t>General Overview</w:t>
      </w:r>
    </w:p>
    <w:p w:rsidR="001448C7" w:rsidRPr="001D3640" w:rsidRDefault="001448C7">
      <w:pPr>
        <w:rPr>
          <w:sz w:val="22"/>
        </w:rPr>
      </w:pPr>
    </w:p>
    <w:p w:rsidR="001448C7" w:rsidRPr="001D3640" w:rsidRDefault="001448C7" w:rsidP="001448C7">
      <w:pPr>
        <w:pStyle w:val="ListParagraph"/>
        <w:numPr>
          <w:ilvl w:val="0"/>
          <w:numId w:val="2"/>
        </w:numPr>
        <w:spacing w:after="240"/>
        <w:rPr>
          <w:rFonts w:eastAsia="Times New Roman" w:cs="Times New Roman"/>
          <w:sz w:val="22"/>
        </w:rPr>
      </w:pPr>
      <w:r w:rsidRPr="001D3640">
        <w:rPr>
          <w:sz w:val="22"/>
          <w:u w:val="single"/>
        </w:rPr>
        <w:t>Bank Secrecy Act</w:t>
      </w:r>
      <w:r w:rsidR="003A2605" w:rsidRPr="001D3640">
        <w:rPr>
          <w:sz w:val="22"/>
          <w:u w:val="single"/>
        </w:rPr>
        <w:t xml:space="preserve"> </w:t>
      </w:r>
      <w:r w:rsidR="008C64C8" w:rsidRPr="001D3640">
        <w:rPr>
          <w:sz w:val="22"/>
          <w:u w:val="single"/>
        </w:rPr>
        <w:t>Mandates</w:t>
      </w:r>
      <w:r w:rsidR="003A2605" w:rsidRPr="001D3640">
        <w:rPr>
          <w:sz w:val="22"/>
          <w:u w:val="single"/>
        </w:rPr>
        <w:t xml:space="preserve"> Reporting</w:t>
      </w:r>
      <w:r w:rsidRPr="001D3640">
        <w:rPr>
          <w:sz w:val="22"/>
        </w:rPr>
        <w:t xml:space="preserve">.  </w:t>
      </w:r>
    </w:p>
    <w:p w:rsidR="001448C7" w:rsidRPr="001D3640" w:rsidRDefault="001448C7" w:rsidP="001448C7">
      <w:pPr>
        <w:pStyle w:val="ListParagraph"/>
        <w:spacing w:after="240"/>
        <w:rPr>
          <w:rFonts w:eastAsia="Times New Roman" w:cs="Times New Roman"/>
          <w:sz w:val="22"/>
        </w:rPr>
      </w:pPr>
    </w:p>
    <w:p w:rsidR="001448C7" w:rsidRPr="001D3640" w:rsidRDefault="001448C7" w:rsidP="003A2605">
      <w:pPr>
        <w:pStyle w:val="ListParagraph"/>
        <w:numPr>
          <w:ilvl w:val="0"/>
          <w:numId w:val="3"/>
        </w:numPr>
        <w:spacing w:after="240"/>
        <w:ind w:left="1080"/>
        <w:jc w:val="both"/>
        <w:rPr>
          <w:rFonts w:eastAsia="Times New Roman" w:cs="Times New Roman"/>
          <w:sz w:val="22"/>
        </w:rPr>
      </w:pPr>
      <w:r w:rsidRPr="001D3640">
        <w:rPr>
          <w:rFonts w:eastAsia="Times New Roman" w:cs="Times New Roman"/>
          <w:sz w:val="22"/>
        </w:rPr>
        <w:t>The stated purpose of the Bank Secrecy Act is “to require certain reports or records where they have a high degree of usefulness in criminal, tax, or regulatory investigations or proceedings, or in the conduct of intelligence or counterintelligence activities, including analysis, to protect against international terrorism.”  31 U.S.C. § 5311.</w:t>
      </w:r>
    </w:p>
    <w:p w:rsidR="001448C7" w:rsidRPr="001D3640" w:rsidRDefault="001448C7" w:rsidP="003A2605">
      <w:pPr>
        <w:pStyle w:val="ListParagraph"/>
        <w:spacing w:after="240"/>
        <w:ind w:left="1080"/>
        <w:rPr>
          <w:rFonts w:eastAsia="Times New Roman" w:cs="Times New Roman"/>
          <w:sz w:val="22"/>
        </w:rPr>
      </w:pPr>
    </w:p>
    <w:p w:rsidR="001448C7" w:rsidRPr="001D3640" w:rsidRDefault="001448C7" w:rsidP="003A2605">
      <w:pPr>
        <w:pStyle w:val="ListParagraph"/>
        <w:numPr>
          <w:ilvl w:val="0"/>
          <w:numId w:val="3"/>
        </w:numPr>
        <w:spacing w:after="240"/>
        <w:ind w:left="1080"/>
        <w:rPr>
          <w:rFonts w:eastAsia="Times New Roman" w:cs="Times New Roman"/>
          <w:sz w:val="22"/>
        </w:rPr>
      </w:pPr>
      <w:r w:rsidRPr="001D3640">
        <w:rPr>
          <w:rFonts w:eastAsia="Times New Roman" w:cs="Times New Roman"/>
          <w:bCs/>
          <w:sz w:val="22"/>
        </w:rPr>
        <w:t xml:space="preserve">The relevant statute provides: </w:t>
      </w:r>
    </w:p>
    <w:p w:rsidR="001448C7" w:rsidRPr="001D3640" w:rsidRDefault="001448C7" w:rsidP="003A2605">
      <w:pPr>
        <w:pStyle w:val="ListParagraph"/>
        <w:ind w:left="0"/>
        <w:rPr>
          <w:rFonts w:eastAsia="Times New Roman" w:cs="Times New Roman"/>
          <w:sz w:val="22"/>
        </w:rPr>
      </w:pPr>
    </w:p>
    <w:p w:rsidR="001448C7" w:rsidRPr="001D3640" w:rsidRDefault="001448C7" w:rsidP="00363CDA">
      <w:pPr>
        <w:spacing w:after="240"/>
        <w:ind w:left="1440" w:right="720"/>
        <w:jc w:val="both"/>
        <w:rPr>
          <w:rFonts w:eastAsia="Times New Roman" w:cs="Times New Roman"/>
          <w:sz w:val="22"/>
        </w:rPr>
      </w:pPr>
      <w:r w:rsidRPr="001D3640">
        <w:rPr>
          <w:rFonts w:eastAsia="Times New Roman" w:cs="Times New Roman"/>
          <w:sz w:val="22"/>
        </w:rPr>
        <w:t xml:space="preserve">Considering the need to avoid impeding or controlling the export or import of monetary instruments and the need to avoid burdening unreasonably a person making a transaction with a foreign financial agency, the Secretary of the Treasury shall require a resident or citizen of the United States or a person in, and doing business in, the United States, to keep records, file reports, or keep records and file reports, when the resident, citizen, or person makes a transaction or maintains a relation for any person with a foreign financial agency.  </w:t>
      </w:r>
      <w:r w:rsidRPr="001D3640">
        <w:rPr>
          <w:rFonts w:eastAsia="Times New Roman" w:cs="Times New Roman"/>
          <w:bCs/>
          <w:sz w:val="22"/>
        </w:rPr>
        <w:t>The records and reports shall contain the following information in the way and to the extent the Secretary prescribes:</w:t>
      </w:r>
    </w:p>
    <w:p w:rsidR="001448C7" w:rsidRPr="001D3640" w:rsidRDefault="001448C7" w:rsidP="00363CDA">
      <w:pPr>
        <w:spacing w:after="240"/>
        <w:ind w:left="1440" w:right="720" w:firstLine="360"/>
        <w:jc w:val="both"/>
        <w:rPr>
          <w:rFonts w:eastAsia="Times New Roman" w:cs="Times New Roman"/>
          <w:sz w:val="22"/>
        </w:rPr>
      </w:pPr>
      <w:r w:rsidRPr="001D3640">
        <w:rPr>
          <w:rFonts w:eastAsia="Times New Roman" w:cs="Times New Roman"/>
          <w:b/>
          <w:bCs/>
          <w:sz w:val="22"/>
        </w:rPr>
        <w:t>(1)</w:t>
      </w:r>
      <w:r w:rsidRPr="001D3640">
        <w:rPr>
          <w:rFonts w:eastAsia="Times New Roman" w:cs="Times New Roman"/>
          <w:sz w:val="22"/>
        </w:rPr>
        <w:t xml:space="preserve"> the identity and address of participants in a transaction or relationship.</w:t>
      </w:r>
    </w:p>
    <w:p w:rsidR="001448C7" w:rsidRPr="001D3640" w:rsidRDefault="001448C7" w:rsidP="00363CDA">
      <w:pPr>
        <w:spacing w:after="240"/>
        <w:ind w:left="1440" w:right="720" w:firstLine="360"/>
        <w:jc w:val="both"/>
        <w:rPr>
          <w:rFonts w:eastAsia="Times New Roman" w:cs="Times New Roman"/>
          <w:sz w:val="22"/>
        </w:rPr>
      </w:pPr>
      <w:r w:rsidRPr="001D3640">
        <w:rPr>
          <w:rFonts w:eastAsia="Times New Roman" w:cs="Times New Roman"/>
          <w:b/>
          <w:bCs/>
          <w:sz w:val="22"/>
        </w:rPr>
        <w:t>(2)</w:t>
      </w:r>
      <w:r w:rsidRPr="001D3640">
        <w:rPr>
          <w:rFonts w:eastAsia="Times New Roman" w:cs="Times New Roman"/>
          <w:sz w:val="22"/>
        </w:rPr>
        <w:t xml:space="preserve"> the legal capacity in which a participant is acting.</w:t>
      </w:r>
    </w:p>
    <w:p w:rsidR="001448C7" w:rsidRPr="001D3640" w:rsidRDefault="001448C7" w:rsidP="00363CDA">
      <w:pPr>
        <w:spacing w:after="240"/>
        <w:ind w:left="1440" w:right="720" w:firstLine="360"/>
        <w:jc w:val="both"/>
        <w:rPr>
          <w:rFonts w:eastAsia="Times New Roman" w:cs="Times New Roman"/>
          <w:sz w:val="22"/>
        </w:rPr>
      </w:pPr>
      <w:r w:rsidRPr="001D3640">
        <w:rPr>
          <w:rFonts w:eastAsia="Times New Roman" w:cs="Times New Roman"/>
          <w:b/>
          <w:bCs/>
          <w:sz w:val="22"/>
        </w:rPr>
        <w:t>(3)</w:t>
      </w:r>
      <w:r w:rsidRPr="001D3640">
        <w:rPr>
          <w:rFonts w:eastAsia="Times New Roman" w:cs="Times New Roman"/>
          <w:sz w:val="22"/>
        </w:rPr>
        <w:t xml:space="preserve"> the identity of real parties in interest.</w:t>
      </w:r>
    </w:p>
    <w:p w:rsidR="00C147AA" w:rsidRPr="001D3640" w:rsidRDefault="001448C7" w:rsidP="00363CDA">
      <w:pPr>
        <w:spacing w:after="240"/>
        <w:ind w:left="1440" w:right="720" w:firstLine="360"/>
        <w:jc w:val="both"/>
        <w:rPr>
          <w:rFonts w:eastAsia="Times New Roman" w:cs="Times New Roman"/>
          <w:sz w:val="22"/>
        </w:rPr>
      </w:pPr>
      <w:r w:rsidRPr="001D3640">
        <w:rPr>
          <w:rFonts w:eastAsia="Times New Roman" w:cs="Times New Roman"/>
          <w:b/>
          <w:bCs/>
          <w:sz w:val="22"/>
        </w:rPr>
        <w:t>(4)</w:t>
      </w:r>
      <w:r w:rsidRPr="001D3640">
        <w:rPr>
          <w:rFonts w:eastAsia="Times New Roman" w:cs="Times New Roman"/>
          <w:sz w:val="22"/>
        </w:rPr>
        <w:t xml:space="preserve"> a description of the transaction.</w:t>
      </w:r>
    </w:p>
    <w:p w:rsidR="00C147AA" w:rsidRPr="001D3640" w:rsidRDefault="00C147AA" w:rsidP="00363CDA">
      <w:pPr>
        <w:spacing w:after="240"/>
        <w:ind w:left="1080" w:right="720" w:firstLine="360"/>
        <w:jc w:val="both"/>
        <w:rPr>
          <w:rFonts w:eastAsia="Times New Roman" w:cs="Times New Roman"/>
          <w:sz w:val="22"/>
        </w:rPr>
      </w:pPr>
      <w:r w:rsidRPr="001D3640">
        <w:rPr>
          <w:rFonts w:eastAsia="Times New Roman" w:cs="Times New Roman"/>
          <w:sz w:val="22"/>
        </w:rPr>
        <w:t xml:space="preserve">31 U.S.C. § 5314(a).  </w:t>
      </w:r>
    </w:p>
    <w:p w:rsidR="001448C7" w:rsidRPr="001D3640" w:rsidRDefault="00C147AA" w:rsidP="003A2605">
      <w:pPr>
        <w:pStyle w:val="ListParagraph"/>
        <w:numPr>
          <w:ilvl w:val="0"/>
          <w:numId w:val="3"/>
        </w:numPr>
        <w:ind w:left="1080"/>
        <w:rPr>
          <w:rFonts w:eastAsia="Times New Roman" w:cs="Times New Roman"/>
          <w:bCs/>
          <w:sz w:val="22"/>
        </w:rPr>
      </w:pPr>
      <w:r w:rsidRPr="001D3640">
        <w:rPr>
          <w:rFonts w:eastAsia="Times New Roman" w:cs="Times New Roman"/>
          <w:bCs/>
          <w:sz w:val="22"/>
        </w:rPr>
        <w:t xml:space="preserve">The Secretary of the Department of Treasury is granted the powers to exempt certain classes of persons from reporting, the reporting dollar amount and other matters the Secretary considers necessary.  31 U.S.C. § 5314(b). </w:t>
      </w:r>
    </w:p>
    <w:p w:rsidR="00C147AA" w:rsidRPr="001D3640" w:rsidRDefault="00C147AA" w:rsidP="003A2605">
      <w:pPr>
        <w:pStyle w:val="ListParagraph"/>
        <w:ind w:left="1080"/>
        <w:rPr>
          <w:rFonts w:eastAsia="Times New Roman" w:cs="Times New Roman"/>
          <w:bCs/>
          <w:sz w:val="22"/>
        </w:rPr>
      </w:pPr>
    </w:p>
    <w:p w:rsidR="00C147AA" w:rsidRDefault="001448C7" w:rsidP="00C147AA">
      <w:pPr>
        <w:pStyle w:val="ListParagraph"/>
        <w:numPr>
          <w:ilvl w:val="0"/>
          <w:numId w:val="3"/>
        </w:numPr>
        <w:ind w:left="1080"/>
        <w:rPr>
          <w:rFonts w:eastAsia="Times New Roman" w:cs="Times New Roman"/>
          <w:sz w:val="22"/>
        </w:rPr>
      </w:pPr>
      <w:r w:rsidRPr="007123E0">
        <w:rPr>
          <w:rFonts w:eastAsia="Times New Roman" w:cs="Times New Roman"/>
          <w:sz w:val="22"/>
        </w:rPr>
        <w:t>A person shall be required to disclose a record required to be kept under this section or under a regulation under this section only as required by law.</w:t>
      </w:r>
      <w:r w:rsidR="00C147AA" w:rsidRPr="007123E0">
        <w:rPr>
          <w:rFonts w:eastAsia="Times New Roman" w:cs="Times New Roman"/>
          <w:sz w:val="22"/>
        </w:rPr>
        <w:t xml:space="preserve">  31 U.S.C. § 5314(c).</w:t>
      </w:r>
      <w:r w:rsidR="007123E0" w:rsidRPr="007123E0">
        <w:rPr>
          <w:rFonts w:eastAsia="Times New Roman" w:cs="Times New Roman"/>
          <w:sz w:val="22"/>
        </w:rPr>
        <w:t xml:space="preserve"> </w:t>
      </w:r>
    </w:p>
    <w:p w:rsidR="007123E0" w:rsidRPr="007123E0" w:rsidRDefault="007123E0" w:rsidP="007123E0">
      <w:pPr>
        <w:pStyle w:val="ListParagraph"/>
        <w:ind w:left="1080"/>
        <w:rPr>
          <w:rFonts w:eastAsia="Times New Roman" w:cs="Times New Roman"/>
          <w:sz w:val="22"/>
        </w:rPr>
      </w:pPr>
    </w:p>
    <w:p w:rsidR="00C147AA" w:rsidRPr="001D3640" w:rsidRDefault="008C64C8" w:rsidP="003A2605">
      <w:pPr>
        <w:pStyle w:val="ListParagraph"/>
        <w:numPr>
          <w:ilvl w:val="0"/>
          <w:numId w:val="2"/>
        </w:numPr>
        <w:rPr>
          <w:rFonts w:eastAsia="Times New Roman" w:cs="Times New Roman"/>
          <w:sz w:val="22"/>
        </w:rPr>
      </w:pPr>
      <w:r w:rsidRPr="001D3640">
        <w:rPr>
          <w:rFonts w:eastAsia="Times New Roman" w:cs="Times New Roman"/>
          <w:sz w:val="22"/>
          <w:u w:val="single"/>
        </w:rPr>
        <w:t>Treasury Department Regulation</w:t>
      </w:r>
      <w:r w:rsidR="00A41E46" w:rsidRPr="001D3640">
        <w:rPr>
          <w:rFonts w:eastAsia="Times New Roman" w:cs="Times New Roman"/>
          <w:sz w:val="22"/>
          <w:u w:val="single"/>
        </w:rPr>
        <w:t xml:space="preserve"> Provides Reporting Rules</w:t>
      </w:r>
      <w:r w:rsidR="00A9326A" w:rsidRPr="001D3640">
        <w:rPr>
          <w:rFonts w:eastAsia="Times New Roman" w:cs="Times New Roman"/>
          <w:sz w:val="22"/>
        </w:rPr>
        <w:t>.</w:t>
      </w:r>
    </w:p>
    <w:p w:rsidR="003A2605" w:rsidRPr="001D3640" w:rsidRDefault="003A2605" w:rsidP="003A2605">
      <w:pPr>
        <w:ind w:left="720"/>
        <w:rPr>
          <w:rFonts w:eastAsia="Times New Roman" w:cs="Times New Roman"/>
          <w:sz w:val="22"/>
          <w:u w:val="single"/>
        </w:rPr>
      </w:pPr>
    </w:p>
    <w:p w:rsidR="003A2605" w:rsidRPr="001D3640" w:rsidRDefault="003A2605" w:rsidP="003A2605">
      <w:pPr>
        <w:pStyle w:val="ListParagraph"/>
        <w:numPr>
          <w:ilvl w:val="0"/>
          <w:numId w:val="6"/>
        </w:numPr>
        <w:rPr>
          <w:rFonts w:eastAsia="Times New Roman" w:cs="Times New Roman"/>
          <w:sz w:val="22"/>
        </w:rPr>
      </w:pPr>
      <w:r w:rsidRPr="001D3640">
        <w:rPr>
          <w:rFonts w:eastAsia="Times New Roman" w:cs="Times New Roman"/>
          <w:sz w:val="22"/>
        </w:rPr>
        <w:t>The regulation requires that:</w:t>
      </w:r>
    </w:p>
    <w:p w:rsidR="003A2605" w:rsidRPr="001D3640" w:rsidRDefault="003A2605" w:rsidP="003A2605">
      <w:pPr>
        <w:pStyle w:val="ListParagraph"/>
        <w:ind w:left="1080"/>
        <w:rPr>
          <w:rFonts w:eastAsia="Times New Roman" w:cs="Times New Roman"/>
          <w:sz w:val="22"/>
        </w:rPr>
      </w:pPr>
    </w:p>
    <w:p w:rsidR="003A2605" w:rsidRPr="001D3640" w:rsidRDefault="003A2605" w:rsidP="00363CDA">
      <w:pPr>
        <w:spacing w:after="240"/>
        <w:ind w:left="1440" w:right="720"/>
        <w:jc w:val="both"/>
        <w:rPr>
          <w:rFonts w:eastAsia="Times New Roman" w:cs="Times New Roman"/>
          <w:sz w:val="22"/>
        </w:rPr>
      </w:pPr>
      <w:r w:rsidRPr="001D3640">
        <w:rPr>
          <w:rFonts w:eastAsia="Times New Roman" w:cs="Times New Roman"/>
          <w:sz w:val="22"/>
        </w:rPr>
        <w:t xml:space="preserve">Each </w:t>
      </w:r>
      <w:r w:rsidRPr="00363CDA">
        <w:rPr>
          <w:rFonts w:eastAsia="Times New Roman" w:cs="Times New Roman"/>
          <w:b/>
          <w:sz w:val="22"/>
        </w:rPr>
        <w:t>United States person</w:t>
      </w:r>
      <w:r w:rsidRPr="001D3640">
        <w:rPr>
          <w:rFonts w:eastAsia="Times New Roman" w:cs="Times New Roman"/>
          <w:sz w:val="22"/>
        </w:rPr>
        <w:t xml:space="preserve"> having </w:t>
      </w:r>
      <w:r w:rsidRPr="00363CDA">
        <w:rPr>
          <w:rFonts w:eastAsia="Times New Roman" w:cs="Times New Roman"/>
          <w:b/>
          <w:sz w:val="22"/>
        </w:rPr>
        <w:t>a financial interest in, or signature or other authority over</w:t>
      </w:r>
      <w:r w:rsidRPr="001D3640">
        <w:rPr>
          <w:rFonts w:eastAsia="Times New Roman" w:cs="Times New Roman"/>
          <w:sz w:val="22"/>
        </w:rPr>
        <w:t xml:space="preserve">, </w:t>
      </w:r>
      <w:r w:rsidRPr="00363CDA">
        <w:rPr>
          <w:rFonts w:eastAsia="Times New Roman" w:cs="Times New Roman"/>
          <w:b/>
          <w:sz w:val="22"/>
        </w:rPr>
        <w:t>a bank, securities, or other financial account</w:t>
      </w:r>
      <w:r w:rsidRPr="001D3640">
        <w:rPr>
          <w:rFonts w:eastAsia="Times New Roman" w:cs="Times New Roman"/>
          <w:sz w:val="22"/>
        </w:rPr>
        <w:t xml:space="preserve"> in a foreign country shall report such relationship to the Commissioner of Internal Revenue for each year in which such relationship exists and shall provide such information as shall be specified in a reporting form prescribed under </w:t>
      </w:r>
      <w:hyperlink r:id="rId14" w:history="1">
        <w:r w:rsidRPr="001D3640">
          <w:rPr>
            <w:rFonts w:eastAsia="Times New Roman" w:cs="Times New Roman"/>
            <w:sz w:val="22"/>
          </w:rPr>
          <w:t>31 U.S.C. 5314</w:t>
        </w:r>
      </w:hyperlink>
      <w:r w:rsidRPr="001D3640">
        <w:rPr>
          <w:rFonts w:eastAsia="Times New Roman" w:cs="Times New Roman"/>
          <w:sz w:val="22"/>
        </w:rPr>
        <w:t xml:space="preserve"> to be filed by such persons. </w:t>
      </w:r>
    </w:p>
    <w:p w:rsidR="003A2605" w:rsidRPr="001D3640" w:rsidRDefault="003A2605" w:rsidP="003A2605">
      <w:pPr>
        <w:pStyle w:val="ListParagraph"/>
        <w:ind w:left="1080"/>
        <w:rPr>
          <w:rFonts w:eastAsia="Times New Roman" w:cs="Times New Roman"/>
          <w:sz w:val="22"/>
        </w:rPr>
      </w:pPr>
    </w:p>
    <w:p w:rsidR="00F65547" w:rsidRPr="001D3640" w:rsidRDefault="00363CDA" w:rsidP="00F65547">
      <w:pPr>
        <w:pStyle w:val="ListParagraph"/>
        <w:ind w:left="1080"/>
        <w:rPr>
          <w:rFonts w:eastAsia="Times New Roman" w:cs="Times New Roman"/>
          <w:sz w:val="22"/>
        </w:rPr>
      </w:pPr>
      <w:r>
        <w:rPr>
          <w:rFonts w:eastAsia="Times New Roman" w:cs="Times New Roman"/>
          <w:sz w:val="22"/>
        </w:rPr>
        <w:tab/>
      </w:r>
      <w:r w:rsidR="003A2605" w:rsidRPr="001D3640">
        <w:rPr>
          <w:rFonts w:eastAsia="Times New Roman" w:cs="Times New Roman"/>
          <w:sz w:val="22"/>
        </w:rPr>
        <w:t>31 C.F.R. § 1010.350(a)</w:t>
      </w:r>
      <w:r>
        <w:rPr>
          <w:rFonts w:eastAsia="Times New Roman" w:cs="Times New Roman"/>
          <w:sz w:val="22"/>
        </w:rPr>
        <w:t xml:space="preserve"> (emphasis added in bold)</w:t>
      </w:r>
      <w:r w:rsidR="003A2605" w:rsidRPr="001D3640">
        <w:rPr>
          <w:rFonts w:eastAsia="Times New Roman" w:cs="Times New Roman"/>
          <w:sz w:val="22"/>
        </w:rPr>
        <w:t xml:space="preserve">.  </w:t>
      </w:r>
    </w:p>
    <w:p w:rsidR="00F65547" w:rsidRPr="001D3640" w:rsidRDefault="00F65547" w:rsidP="00F65547">
      <w:pPr>
        <w:pStyle w:val="ListParagraph"/>
        <w:ind w:left="1080"/>
        <w:rPr>
          <w:rFonts w:eastAsia="Times New Roman" w:cs="Times New Roman"/>
          <w:sz w:val="22"/>
        </w:rPr>
      </w:pPr>
    </w:p>
    <w:p w:rsidR="002270A7" w:rsidRDefault="00F65547" w:rsidP="002270A7">
      <w:pPr>
        <w:pStyle w:val="ListParagraph"/>
        <w:numPr>
          <w:ilvl w:val="0"/>
          <w:numId w:val="6"/>
        </w:numPr>
        <w:jc w:val="both"/>
        <w:rPr>
          <w:rFonts w:eastAsia="Times New Roman" w:cs="Times New Roman"/>
          <w:sz w:val="22"/>
        </w:rPr>
      </w:pPr>
      <w:r w:rsidRPr="001D3640">
        <w:rPr>
          <w:rFonts w:eastAsia="Times New Roman" w:cs="Times New Roman"/>
          <w:sz w:val="22"/>
          <w:u w:val="single"/>
        </w:rPr>
        <w:t>United States Person</w:t>
      </w:r>
      <w:r w:rsidRPr="001D3640">
        <w:rPr>
          <w:rFonts w:eastAsia="Times New Roman" w:cs="Times New Roman"/>
          <w:sz w:val="22"/>
        </w:rPr>
        <w:t>.  A “United States Person” is defined as a citizen, resident (as defined under 26 U.S.C. § 7701(b), and entity “including but not limited to, a corporation, partnership, trust, or limited liability company created, organized, or formed under the laws of the United States, any State, the District of Columbia, the Territories and Insular Possessions of the United States, or the Indian Tribes.  31 C.F.R. § 1010.350(b).</w:t>
      </w:r>
    </w:p>
    <w:p w:rsidR="002270A7" w:rsidRDefault="002270A7" w:rsidP="002270A7">
      <w:pPr>
        <w:pStyle w:val="ListParagraph"/>
        <w:ind w:left="1080"/>
        <w:jc w:val="both"/>
        <w:rPr>
          <w:rFonts w:eastAsia="Times New Roman" w:cs="Times New Roman"/>
          <w:sz w:val="22"/>
        </w:rPr>
      </w:pPr>
    </w:p>
    <w:p w:rsidR="00F65547" w:rsidRPr="002270A7" w:rsidRDefault="002270A7" w:rsidP="002270A7">
      <w:pPr>
        <w:pStyle w:val="ListParagraph"/>
        <w:numPr>
          <w:ilvl w:val="1"/>
          <w:numId w:val="6"/>
        </w:numPr>
        <w:jc w:val="both"/>
        <w:rPr>
          <w:rFonts w:eastAsia="Times New Roman" w:cs="Times New Roman"/>
          <w:sz w:val="22"/>
        </w:rPr>
      </w:pPr>
      <w:r>
        <w:rPr>
          <w:rFonts w:eastAsia="Times New Roman" w:cs="Times New Roman"/>
          <w:sz w:val="22"/>
        </w:rPr>
        <w:t xml:space="preserve">Definition of resident under </w:t>
      </w:r>
      <w:r w:rsidRPr="001D3640">
        <w:rPr>
          <w:rFonts w:eastAsia="Times New Roman" w:cs="Times New Roman"/>
          <w:sz w:val="22"/>
        </w:rPr>
        <w:t>§ 7701(b)</w:t>
      </w:r>
      <w:r>
        <w:rPr>
          <w:rFonts w:eastAsia="Times New Roman" w:cs="Times New Roman"/>
          <w:sz w:val="22"/>
        </w:rPr>
        <w:t xml:space="preserve"> generally includes those with green cards and H-1B work visas, but excludes those on F-1 Student Visas.</w:t>
      </w:r>
      <w:r w:rsidR="00F65547" w:rsidRPr="002270A7">
        <w:rPr>
          <w:rFonts w:eastAsia="Times New Roman" w:cs="Times New Roman"/>
          <w:sz w:val="22"/>
        </w:rPr>
        <w:t xml:space="preserve">  </w:t>
      </w:r>
    </w:p>
    <w:p w:rsidR="00F65547" w:rsidRPr="001D3640" w:rsidRDefault="00F65547" w:rsidP="00F65547">
      <w:pPr>
        <w:pStyle w:val="ListParagraph"/>
        <w:ind w:left="1080"/>
        <w:rPr>
          <w:rFonts w:eastAsia="Times New Roman" w:cs="Times New Roman"/>
          <w:sz w:val="22"/>
        </w:rPr>
      </w:pPr>
    </w:p>
    <w:p w:rsidR="00F65547" w:rsidRPr="001D3640" w:rsidRDefault="00F65547" w:rsidP="00F65547">
      <w:pPr>
        <w:pStyle w:val="ListParagraph"/>
        <w:numPr>
          <w:ilvl w:val="0"/>
          <w:numId w:val="6"/>
        </w:numPr>
        <w:rPr>
          <w:rFonts w:eastAsia="Times New Roman" w:cs="Times New Roman"/>
          <w:sz w:val="22"/>
        </w:rPr>
      </w:pPr>
      <w:r w:rsidRPr="001D3640">
        <w:rPr>
          <w:rFonts w:eastAsia="Times New Roman" w:cs="Times New Roman"/>
          <w:sz w:val="22"/>
          <w:u w:val="single"/>
        </w:rPr>
        <w:t>Financial Interest or Signature Authority</w:t>
      </w:r>
      <w:r w:rsidRPr="001D3640">
        <w:rPr>
          <w:rFonts w:eastAsia="Times New Roman" w:cs="Times New Roman"/>
          <w:sz w:val="22"/>
        </w:rPr>
        <w:t xml:space="preserve">.  </w:t>
      </w:r>
    </w:p>
    <w:p w:rsidR="00F65547" w:rsidRPr="001D3640" w:rsidRDefault="00F65547" w:rsidP="00F65547">
      <w:pPr>
        <w:pStyle w:val="ListParagraph"/>
        <w:rPr>
          <w:rFonts w:eastAsia="Times New Roman" w:cs="Times New Roman"/>
          <w:sz w:val="22"/>
        </w:rPr>
      </w:pPr>
    </w:p>
    <w:p w:rsidR="00C558F5" w:rsidRPr="001D3640" w:rsidRDefault="00F65547" w:rsidP="00C558F5">
      <w:pPr>
        <w:pStyle w:val="ListParagraph"/>
        <w:numPr>
          <w:ilvl w:val="1"/>
          <w:numId w:val="6"/>
        </w:numPr>
        <w:rPr>
          <w:rFonts w:eastAsia="Times New Roman" w:cs="Times New Roman"/>
          <w:sz w:val="22"/>
        </w:rPr>
      </w:pPr>
      <w:r w:rsidRPr="001D3640">
        <w:rPr>
          <w:rFonts w:eastAsia="Times New Roman" w:cs="Times New Roman"/>
          <w:i/>
          <w:sz w:val="22"/>
        </w:rPr>
        <w:t>Financial Interest.</w:t>
      </w:r>
      <w:r w:rsidRPr="001D3640">
        <w:rPr>
          <w:rFonts w:eastAsia="Times New Roman" w:cs="Times New Roman"/>
          <w:sz w:val="22"/>
        </w:rPr>
        <w:t xml:space="preserve">  </w:t>
      </w:r>
    </w:p>
    <w:p w:rsidR="00C558F5" w:rsidRPr="001D3640" w:rsidRDefault="00C558F5" w:rsidP="00C558F5">
      <w:pPr>
        <w:pStyle w:val="ListParagraph"/>
        <w:ind w:left="1800"/>
        <w:rPr>
          <w:rFonts w:eastAsia="Times New Roman" w:cs="Times New Roman"/>
          <w:sz w:val="22"/>
        </w:rPr>
      </w:pPr>
    </w:p>
    <w:p w:rsidR="008C64C8" w:rsidRPr="001D3640" w:rsidRDefault="008C64C8" w:rsidP="002270A7">
      <w:pPr>
        <w:pStyle w:val="ListParagraph"/>
        <w:ind w:left="2520" w:hanging="720"/>
        <w:jc w:val="both"/>
        <w:rPr>
          <w:rFonts w:eastAsia="Times New Roman" w:cs="Times New Roman"/>
          <w:sz w:val="22"/>
        </w:rPr>
      </w:pPr>
      <w:r w:rsidRPr="001D3640">
        <w:rPr>
          <w:rFonts w:eastAsia="Times New Roman" w:cs="Times New Roman"/>
          <w:sz w:val="22"/>
        </w:rPr>
        <w:t>i.</w:t>
      </w:r>
      <w:r w:rsidRPr="001D3640">
        <w:rPr>
          <w:rFonts w:eastAsia="Times New Roman" w:cs="Times New Roman"/>
          <w:sz w:val="22"/>
        </w:rPr>
        <w:tab/>
      </w:r>
      <w:r w:rsidR="00C558F5" w:rsidRPr="001D3640">
        <w:rPr>
          <w:rFonts w:eastAsia="Times New Roman" w:cs="Times New Roman"/>
          <w:sz w:val="22"/>
        </w:rPr>
        <w:t>A person has financial interest when he is the owner of record or has legal title, whether the account is maintained for his own benefit or for the benefit of others.  31</w:t>
      </w:r>
      <w:r w:rsidR="002270A7">
        <w:rPr>
          <w:rFonts w:eastAsia="Times New Roman" w:cs="Times New Roman"/>
          <w:sz w:val="22"/>
        </w:rPr>
        <w:t xml:space="preserve"> C.F.R. § 1010.350(e)(1).  </w:t>
      </w:r>
      <w:r w:rsidR="00C558F5" w:rsidRPr="001D3640">
        <w:rPr>
          <w:rFonts w:eastAsia="Times New Roman" w:cs="Times New Roman"/>
          <w:sz w:val="22"/>
        </w:rPr>
        <w:t xml:space="preserve">If an account is maintained in the name of more than one person, each United States person in whose name the account is maintained has a financial interest in that account.  </w:t>
      </w:r>
      <w:r w:rsidR="00C558F5" w:rsidRPr="001D3640">
        <w:rPr>
          <w:rFonts w:eastAsia="Times New Roman" w:cs="Times New Roman"/>
          <w:i/>
          <w:sz w:val="22"/>
        </w:rPr>
        <w:t>Id.</w:t>
      </w:r>
    </w:p>
    <w:p w:rsidR="008C64C8" w:rsidRPr="001D3640" w:rsidRDefault="008C64C8" w:rsidP="008C64C8">
      <w:pPr>
        <w:pStyle w:val="ListParagraph"/>
        <w:ind w:left="2520" w:hanging="720"/>
        <w:rPr>
          <w:rFonts w:eastAsia="Times New Roman" w:cs="Times New Roman"/>
          <w:sz w:val="22"/>
        </w:rPr>
      </w:pPr>
    </w:p>
    <w:p w:rsidR="00C558F5" w:rsidRPr="001D3640" w:rsidRDefault="008C64C8" w:rsidP="002270A7">
      <w:pPr>
        <w:pStyle w:val="ListParagraph"/>
        <w:ind w:left="2520" w:hanging="720"/>
        <w:jc w:val="both"/>
        <w:rPr>
          <w:rFonts w:eastAsia="Times New Roman" w:cs="Times New Roman"/>
          <w:sz w:val="22"/>
        </w:rPr>
      </w:pPr>
      <w:r w:rsidRPr="001D3640">
        <w:rPr>
          <w:rFonts w:eastAsia="Times New Roman" w:cs="Times New Roman"/>
          <w:sz w:val="22"/>
        </w:rPr>
        <w:t>ii.</w:t>
      </w:r>
      <w:r w:rsidRPr="001D3640">
        <w:rPr>
          <w:rFonts w:eastAsia="Times New Roman" w:cs="Times New Roman"/>
          <w:sz w:val="22"/>
        </w:rPr>
        <w:tab/>
      </w:r>
      <w:r w:rsidR="00C558F5" w:rsidRPr="001D3640">
        <w:rPr>
          <w:rFonts w:eastAsia="Times New Roman" w:cs="Times New Roman"/>
          <w:sz w:val="22"/>
        </w:rPr>
        <w:t>A person also has a financial interest</w:t>
      </w:r>
      <w:r w:rsidR="006D6703" w:rsidRPr="001D3640">
        <w:rPr>
          <w:rFonts w:eastAsia="Times New Roman" w:cs="Times New Roman"/>
          <w:sz w:val="22"/>
        </w:rPr>
        <w:t xml:space="preserve"> in an account if the owner of record or holder of legal title is:</w:t>
      </w:r>
    </w:p>
    <w:p w:rsidR="00C558F5" w:rsidRPr="001D3640" w:rsidRDefault="00C558F5" w:rsidP="002270A7">
      <w:pPr>
        <w:pStyle w:val="ListParagraph"/>
        <w:ind w:left="1800"/>
        <w:jc w:val="both"/>
        <w:rPr>
          <w:rFonts w:eastAsia="Times New Roman" w:cs="Times New Roman"/>
          <w:sz w:val="22"/>
        </w:rPr>
      </w:pPr>
    </w:p>
    <w:p w:rsidR="00C558F5" w:rsidRPr="001D3640" w:rsidRDefault="006D6703" w:rsidP="002270A7">
      <w:pPr>
        <w:pStyle w:val="ListParagraph"/>
        <w:numPr>
          <w:ilvl w:val="0"/>
          <w:numId w:val="7"/>
        </w:numPr>
        <w:jc w:val="both"/>
        <w:rPr>
          <w:rFonts w:eastAsia="Times New Roman" w:cs="Times New Roman"/>
          <w:sz w:val="22"/>
        </w:rPr>
      </w:pPr>
      <w:r w:rsidRPr="001D3640">
        <w:rPr>
          <w:rFonts w:eastAsia="Times New Roman" w:cs="Times New Roman"/>
          <w:sz w:val="22"/>
        </w:rPr>
        <w:t>A person a</w:t>
      </w:r>
      <w:r w:rsidR="00C558F5" w:rsidRPr="001D3640">
        <w:rPr>
          <w:rFonts w:eastAsia="Times New Roman" w:cs="Times New Roman"/>
          <w:sz w:val="22"/>
        </w:rPr>
        <w:t>cting as an agent, nominee, attorney or in some other capacity on behalf of a United States person;</w:t>
      </w:r>
    </w:p>
    <w:p w:rsidR="00A41E46" w:rsidRPr="001D3640" w:rsidRDefault="00A41E46" w:rsidP="002270A7">
      <w:pPr>
        <w:pStyle w:val="ListParagraph"/>
        <w:ind w:left="2880"/>
        <w:jc w:val="both"/>
        <w:rPr>
          <w:rFonts w:eastAsia="Times New Roman" w:cs="Times New Roman"/>
          <w:sz w:val="22"/>
        </w:rPr>
      </w:pPr>
    </w:p>
    <w:p w:rsidR="00A41E46" w:rsidRPr="001D3640" w:rsidRDefault="006D6703" w:rsidP="002270A7">
      <w:pPr>
        <w:pStyle w:val="ListParagraph"/>
        <w:numPr>
          <w:ilvl w:val="0"/>
          <w:numId w:val="7"/>
        </w:numPr>
        <w:jc w:val="both"/>
        <w:rPr>
          <w:rFonts w:eastAsia="Times New Roman" w:cs="Times New Roman"/>
          <w:sz w:val="22"/>
        </w:rPr>
      </w:pPr>
      <w:r w:rsidRPr="001D3640">
        <w:rPr>
          <w:rFonts w:eastAsia="Times New Roman" w:cs="Times New Roman"/>
          <w:sz w:val="22"/>
        </w:rPr>
        <w:t>A corporatio</w:t>
      </w:r>
      <w:r w:rsidR="002965F4">
        <w:rPr>
          <w:rFonts w:eastAsia="Times New Roman" w:cs="Times New Roman"/>
          <w:sz w:val="22"/>
        </w:rPr>
        <w:t xml:space="preserve">n, partnership, or other entity </w:t>
      </w:r>
      <w:r w:rsidRPr="001D3640">
        <w:rPr>
          <w:rFonts w:eastAsia="Times New Roman" w:cs="Times New Roman"/>
          <w:sz w:val="22"/>
        </w:rPr>
        <w:t>in which the United State</w:t>
      </w:r>
      <w:r w:rsidR="00E04ABA">
        <w:rPr>
          <w:rFonts w:eastAsia="Times New Roman" w:cs="Times New Roman"/>
          <w:sz w:val="22"/>
        </w:rPr>
        <w:t>s</w:t>
      </w:r>
      <w:r w:rsidRPr="001D3640">
        <w:rPr>
          <w:rFonts w:eastAsia="Times New Roman" w:cs="Times New Roman"/>
          <w:sz w:val="22"/>
        </w:rPr>
        <w:t xml:space="preserve"> person owns, directly or indirectly, more than 50% of the voting power or total value of the company.</w:t>
      </w:r>
    </w:p>
    <w:p w:rsidR="006D6703" w:rsidRPr="001D3640" w:rsidRDefault="006D6703" w:rsidP="002270A7">
      <w:pPr>
        <w:pStyle w:val="ListParagraph"/>
        <w:ind w:left="2880"/>
        <w:jc w:val="both"/>
        <w:rPr>
          <w:rFonts w:eastAsia="Times New Roman" w:cs="Times New Roman"/>
          <w:sz w:val="22"/>
        </w:rPr>
      </w:pPr>
      <w:r w:rsidRPr="001D3640">
        <w:rPr>
          <w:rFonts w:eastAsia="Times New Roman" w:cs="Times New Roman"/>
          <w:sz w:val="22"/>
        </w:rPr>
        <w:t xml:space="preserve">  </w:t>
      </w:r>
    </w:p>
    <w:p w:rsidR="006D6703" w:rsidRPr="001D3640" w:rsidRDefault="006D6703" w:rsidP="002270A7">
      <w:pPr>
        <w:pStyle w:val="ListParagraph"/>
        <w:numPr>
          <w:ilvl w:val="0"/>
          <w:numId w:val="7"/>
        </w:numPr>
        <w:jc w:val="both"/>
        <w:rPr>
          <w:rFonts w:eastAsia="Times New Roman" w:cs="Times New Roman"/>
          <w:sz w:val="22"/>
        </w:rPr>
      </w:pPr>
      <w:r w:rsidRPr="001D3640">
        <w:rPr>
          <w:rFonts w:eastAsia="Times New Roman" w:cs="Times New Roman"/>
          <w:sz w:val="22"/>
        </w:rPr>
        <w:t>A trust, if the United States person is the trust grantor and the trust is taxed as a grantor trust.</w:t>
      </w:r>
    </w:p>
    <w:p w:rsidR="00A41E46" w:rsidRPr="001D3640" w:rsidRDefault="00A41E46" w:rsidP="002270A7">
      <w:pPr>
        <w:pStyle w:val="ListParagraph"/>
        <w:ind w:left="2880"/>
        <w:jc w:val="both"/>
        <w:rPr>
          <w:rFonts w:eastAsia="Times New Roman" w:cs="Times New Roman"/>
          <w:sz w:val="22"/>
        </w:rPr>
      </w:pPr>
    </w:p>
    <w:p w:rsidR="00CC35CC" w:rsidRPr="001D3640" w:rsidRDefault="006D6703" w:rsidP="002270A7">
      <w:pPr>
        <w:pStyle w:val="ListParagraph"/>
        <w:numPr>
          <w:ilvl w:val="0"/>
          <w:numId w:val="7"/>
        </w:numPr>
        <w:jc w:val="both"/>
        <w:rPr>
          <w:rFonts w:eastAsia="Times New Roman" w:cs="Times New Roman"/>
          <w:sz w:val="22"/>
        </w:rPr>
      </w:pPr>
      <w:r w:rsidRPr="001D3640">
        <w:rPr>
          <w:rFonts w:eastAsia="Times New Roman" w:cs="Times New Roman"/>
          <w:sz w:val="22"/>
        </w:rPr>
        <w:t>A trust in which the United States person has either a present beneficial interest in more than 50% of the assets or from which such person receives more than 50% of the current income.</w:t>
      </w:r>
    </w:p>
    <w:p w:rsidR="00CC35CC" w:rsidRPr="001D3640" w:rsidRDefault="00CC35CC" w:rsidP="002270A7">
      <w:pPr>
        <w:jc w:val="both"/>
        <w:rPr>
          <w:rFonts w:eastAsia="Times New Roman" w:cs="Times New Roman"/>
          <w:sz w:val="22"/>
        </w:rPr>
      </w:pPr>
    </w:p>
    <w:p w:rsidR="00CC35CC" w:rsidRPr="001D3640" w:rsidRDefault="00C04C4F" w:rsidP="002270A7">
      <w:pPr>
        <w:ind w:left="1080" w:firstLine="720"/>
        <w:jc w:val="both"/>
        <w:rPr>
          <w:rFonts w:eastAsia="Times New Roman" w:cs="Times New Roman"/>
          <w:sz w:val="22"/>
        </w:rPr>
      </w:pPr>
      <w:r>
        <w:rPr>
          <w:rFonts w:eastAsia="Times New Roman" w:cs="Times New Roman"/>
          <w:sz w:val="22"/>
        </w:rPr>
        <w:tab/>
      </w:r>
      <w:r>
        <w:rPr>
          <w:rFonts w:eastAsia="Times New Roman" w:cs="Times New Roman"/>
          <w:sz w:val="22"/>
        </w:rPr>
        <w:tab/>
      </w:r>
      <w:r w:rsidR="00CC35CC" w:rsidRPr="001D3640">
        <w:rPr>
          <w:rFonts w:eastAsia="Times New Roman" w:cs="Times New Roman"/>
          <w:sz w:val="22"/>
        </w:rPr>
        <w:t>31 C.F.R. § 1010.350(e)(2)</w:t>
      </w:r>
      <w:r w:rsidR="002270A7">
        <w:rPr>
          <w:rFonts w:eastAsia="Times New Roman" w:cs="Times New Roman"/>
          <w:sz w:val="22"/>
        </w:rPr>
        <w:t>.</w:t>
      </w:r>
      <w:r w:rsidR="00CC35CC" w:rsidRPr="001D3640">
        <w:rPr>
          <w:rFonts w:eastAsia="Times New Roman" w:cs="Times New Roman"/>
          <w:sz w:val="22"/>
        </w:rPr>
        <w:t xml:space="preserve">  </w:t>
      </w:r>
    </w:p>
    <w:p w:rsidR="00CC35CC" w:rsidRPr="001D3640" w:rsidRDefault="00CC35CC" w:rsidP="00CC35CC">
      <w:pPr>
        <w:rPr>
          <w:rFonts w:eastAsia="Times New Roman" w:cs="Times New Roman"/>
          <w:sz w:val="22"/>
        </w:rPr>
      </w:pPr>
    </w:p>
    <w:p w:rsidR="00CC35CC" w:rsidRPr="001D3640" w:rsidRDefault="008C64C8" w:rsidP="002270A7">
      <w:pPr>
        <w:pStyle w:val="ListParagraph"/>
        <w:ind w:left="2520" w:hanging="720"/>
        <w:jc w:val="both"/>
        <w:rPr>
          <w:rFonts w:eastAsia="Times New Roman" w:cs="Times New Roman"/>
          <w:sz w:val="22"/>
        </w:rPr>
      </w:pPr>
      <w:r w:rsidRPr="001D3640">
        <w:rPr>
          <w:rFonts w:eastAsia="Times New Roman" w:cs="Times New Roman"/>
          <w:sz w:val="22"/>
        </w:rPr>
        <w:t>iii.</w:t>
      </w:r>
      <w:r w:rsidRPr="001D3640">
        <w:rPr>
          <w:rFonts w:eastAsia="Times New Roman" w:cs="Times New Roman"/>
          <w:sz w:val="22"/>
        </w:rPr>
        <w:tab/>
      </w:r>
      <w:r w:rsidR="00CC35CC" w:rsidRPr="001D3640">
        <w:rPr>
          <w:rFonts w:eastAsia="Times New Roman" w:cs="Times New Roman"/>
          <w:sz w:val="22"/>
        </w:rPr>
        <w:t>A person that causes an entity or a trust to be created for the purpose of evading the FBAR reporting requirement is deemed to have a financial interest in the account in the name of the entity or trust.  31 C.F.R. § 1010.350(e)(3).</w:t>
      </w:r>
    </w:p>
    <w:p w:rsidR="00CC35CC" w:rsidRPr="001D3640" w:rsidRDefault="00CC35CC" w:rsidP="00CC35CC">
      <w:pPr>
        <w:ind w:left="1800"/>
        <w:rPr>
          <w:rFonts w:eastAsia="Times New Roman" w:cs="Times New Roman"/>
          <w:sz w:val="22"/>
        </w:rPr>
      </w:pPr>
    </w:p>
    <w:p w:rsidR="00CC35CC" w:rsidRPr="001D3640" w:rsidRDefault="00CC35CC" w:rsidP="00CC35CC">
      <w:pPr>
        <w:pStyle w:val="ListParagraph"/>
        <w:numPr>
          <w:ilvl w:val="1"/>
          <w:numId w:val="6"/>
        </w:numPr>
        <w:rPr>
          <w:rFonts w:eastAsia="Times New Roman" w:cs="Times New Roman"/>
          <w:sz w:val="22"/>
        </w:rPr>
      </w:pPr>
      <w:r w:rsidRPr="001D3640">
        <w:rPr>
          <w:rFonts w:eastAsia="Times New Roman" w:cs="Times New Roman"/>
          <w:i/>
          <w:sz w:val="22"/>
        </w:rPr>
        <w:t>Signature Authority.</w:t>
      </w:r>
      <w:r w:rsidRPr="001D3640">
        <w:rPr>
          <w:rFonts w:eastAsia="Times New Roman" w:cs="Times New Roman"/>
          <w:sz w:val="22"/>
        </w:rPr>
        <w:t xml:space="preserve">  </w:t>
      </w:r>
    </w:p>
    <w:p w:rsidR="00C558F5" w:rsidRPr="001D3640" w:rsidRDefault="00C558F5" w:rsidP="00CC35CC">
      <w:pPr>
        <w:ind w:left="1800"/>
        <w:rPr>
          <w:rFonts w:eastAsia="Times New Roman" w:cs="Times New Roman"/>
          <w:sz w:val="22"/>
        </w:rPr>
      </w:pPr>
      <w:r w:rsidRPr="001D3640">
        <w:rPr>
          <w:rFonts w:eastAsia="Times New Roman" w:cs="Times New Roman"/>
          <w:sz w:val="22"/>
        </w:rPr>
        <w:t xml:space="preserve">  </w:t>
      </w:r>
    </w:p>
    <w:p w:rsidR="008C64C8" w:rsidRPr="001D3640" w:rsidRDefault="008C64C8" w:rsidP="00C04C4F">
      <w:pPr>
        <w:ind w:left="2520" w:hanging="720"/>
        <w:jc w:val="both"/>
        <w:rPr>
          <w:rFonts w:eastAsia="Times New Roman" w:cs="Times New Roman"/>
          <w:sz w:val="22"/>
        </w:rPr>
      </w:pPr>
      <w:r w:rsidRPr="001D3640">
        <w:rPr>
          <w:rFonts w:eastAsia="Times New Roman" w:cs="Times New Roman"/>
          <w:sz w:val="22"/>
        </w:rPr>
        <w:t>i.</w:t>
      </w:r>
      <w:r w:rsidRPr="001D3640">
        <w:rPr>
          <w:rFonts w:eastAsia="Times New Roman" w:cs="Times New Roman"/>
          <w:sz w:val="22"/>
        </w:rPr>
        <w:tab/>
      </w:r>
      <w:r w:rsidR="00CC35CC" w:rsidRPr="001D3640">
        <w:rPr>
          <w:rFonts w:eastAsia="Times New Roman" w:cs="Times New Roman"/>
          <w:sz w:val="22"/>
        </w:rPr>
        <w:t>Signature “or other authority means the authority of</w:t>
      </w:r>
      <w:r w:rsidR="002965F4">
        <w:rPr>
          <w:rFonts w:eastAsia="Times New Roman" w:cs="Times New Roman"/>
          <w:sz w:val="22"/>
        </w:rPr>
        <w:t xml:space="preserve"> an </w:t>
      </w:r>
      <w:r w:rsidR="00CC35CC" w:rsidRPr="001D3640">
        <w:rPr>
          <w:rFonts w:eastAsia="Times New Roman" w:cs="Times New Roman"/>
          <w:sz w:val="22"/>
        </w:rPr>
        <w:t xml:space="preserve">individual (alone or in conjunction with another) to control the disposition of money, funds or other assets held in a financial account by direct communication (whether in </w:t>
      </w:r>
      <w:r w:rsidR="00CC35CC" w:rsidRPr="001D3640">
        <w:rPr>
          <w:rFonts w:eastAsia="Times New Roman" w:cs="Times New Roman"/>
          <w:sz w:val="22"/>
        </w:rPr>
        <w:lastRenderedPageBreak/>
        <w:t>writing or otherwise) to the person with whom the financial account is maintained.”  31 C.F.R. § 1010.350(f).</w:t>
      </w:r>
    </w:p>
    <w:p w:rsidR="008C64C8" w:rsidRPr="001D3640" w:rsidRDefault="008C64C8" w:rsidP="008C64C8">
      <w:pPr>
        <w:ind w:left="2520" w:hanging="720"/>
        <w:rPr>
          <w:rFonts w:eastAsia="Times New Roman" w:cs="Times New Roman"/>
          <w:sz w:val="22"/>
        </w:rPr>
      </w:pPr>
    </w:p>
    <w:p w:rsidR="002E7A8F" w:rsidRPr="001D3640" w:rsidRDefault="008C64C8" w:rsidP="008C64C8">
      <w:pPr>
        <w:ind w:left="2520" w:hanging="720"/>
        <w:rPr>
          <w:rFonts w:eastAsia="Times New Roman" w:cs="Times New Roman"/>
          <w:sz w:val="22"/>
        </w:rPr>
      </w:pPr>
      <w:r w:rsidRPr="001D3640">
        <w:rPr>
          <w:rFonts w:eastAsia="Times New Roman" w:cs="Times New Roman"/>
          <w:sz w:val="22"/>
        </w:rPr>
        <w:t>ii.</w:t>
      </w:r>
      <w:r w:rsidRPr="001D3640">
        <w:rPr>
          <w:rFonts w:eastAsia="Times New Roman" w:cs="Times New Roman"/>
          <w:sz w:val="22"/>
        </w:rPr>
        <w:tab/>
      </w:r>
      <w:r w:rsidR="002E7A8F" w:rsidRPr="001D3640">
        <w:rPr>
          <w:rFonts w:eastAsia="Times New Roman" w:cs="Times New Roman"/>
          <w:sz w:val="22"/>
        </w:rPr>
        <w:t>Common exceptions include:</w:t>
      </w:r>
    </w:p>
    <w:p w:rsidR="00A41E46" w:rsidRPr="001D3640" w:rsidRDefault="00A41E46" w:rsidP="008C64C8">
      <w:pPr>
        <w:ind w:left="2520" w:hanging="720"/>
        <w:rPr>
          <w:rFonts w:eastAsia="Times New Roman" w:cs="Times New Roman"/>
          <w:sz w:val="22"/>
        </w:rPr>
      </w:pPr>
    </w:p>
    <w:p w:rsidR="00201B91" w:rsidRDefault="002270A7" w:rsidP="00201B91">
      <w:pPr>
        <w:pStyle w:val="ListParagraph"/>
        <w:numPr>
          <w:ilvl w:val="0"/>
          <w:numId w:val="20"/>
        </w:numPr>
        <w:rPr>
          <w:rFonts w:eastAsia="Times New Roman" w:cs="Times New Roman"/>
          <w:sz w:val="22"/>
        </w:rPr>
      </w:pPr>
      <w:r w:rsidRPr="00201B91">
        <w:rPr>
          <w:rFonts w:eastAsia="Times New Roman" w:cs="Times New Roman"/>
          <w:sz w:val="22"/>
        </w:rPr>
        <w:t>Officers or employees of a bank;</w:t>
      </w:r>
    </w:p>
    <w:p w:rsidR="00201B91" w:rsidRPr="00201B91" w:rsidRDefault="00201B91" w:rsidP="00201B91">
      <w:pPr>
        <w:pStyle w:val="ListParagraph"/>
        <w:ind w:left="2880"/>
        <w:rPr>
          <w:rFonts w:eastAsia="Times New Roman" w:cs="Times New Roman"/>
          <w:sz w:val="22"/>
        </w:rPr>
      </w:pPr>
    </w:p>
    <w:p w:rsidR="00201B91" w:rsidRDefault="002E7A8F" w:rsidP="00201B91">
      <w:pPr>
        <w:pStyle w:val="ListParagraph"/>
        <w:numPr>
          <w:ilvl w:val="0"/>
          <w:numId w:val="20"/>
        </w:numPr>
        <w:rPr>
          <w:rFonts w:eastAsia="Times New Roman" w:cs="Times New Roman"/>
          <w:sz w:val="22"/>
        </w:rPr>
      </w:pPr>
      <w:r w:rsidRPr="00201B91">
        <w:rPr>
          <w:rFonts w:eastAsia="Times New Roman" w:cs="Times New Roman"/>
          <w:sz w:val="22"/>
        </w:rPr>
        <w:t>Officers or e</w:t>
      </w:r>
      <w:r w:rsidR="00CC35CC" w:rsidRPr="00201B91">
        <w:rPr>
          <w:rFonts w:eastAsia="Times New Roman" w:cs="Times New Roman"/>
          <w:sz w:val="22"/>
        </w:rPr>
        <w:t>mployees of financial institutions registered and examined by the SEC</w:t>
      </w:r>
      <w:r w:rsidR="002270A7" w:rsidRPr="00201B91">
        <w:rPr>
          <w:rFonts w:eastAsia="Times New Roman" w:cs="Times New Roman"/>
          <w:sz w:val="22"/>
        </w:rPr>
        <w:t>;</w:t>
      </w:r>
    </w:p>
    <w:p w:rsidR="00201B91" w:rsidRPr="00201B91" w:rsidRDefault="00201B91" w:rsidP="00201B91">
      <w:pPr>
        <w:pStyle w:val="ListParagraph"/>
        <w:rPr>
          <w:rFonts w:eastAsia="Times New Roman" w:cs="Times New Roman"/>
          <w:sz w:val="22"/>
        </w:rPr>
      </w:pPr>
    </w:p>
    <w:p w:rsidR="00201B91" w:rsidRDefault="002E7A8F" w:rsidP="00201B91">
      <w:pPr>
        <w:pStyle w:val="ListParagraph"/>
        <w:numPr>
          <w:ilvl w:val="0"/>
          <w:numId w:val="20"/>
        </w:numPr>
        <w:rPr>
          <w:rFonts w:eastAsia="Times New Roman" w:cs="Times New Roman"/>
          <w:sz w:val="22"/>
        </w:rPr>
      </w:pPr>
      <w:r w:rsidRPr="00201B91">
        <w:rPr>
          <w:rFonts w:eastAsia="Times New Roman" w:cs="Times New Roman"/>
          <w:sz w:val="22"/>
        </w:rPr>
        <w:t>Officers or employees of an entity with a class of equity securities listed on any US national se</w:t>
      </w:r>
      <w:r w:rsidR="002270A7" w:rsidRPr="00201B91">
        <w:rPr>
          <w:rFonts w:eastAsia="Times New Roman" w:cs="Times New Roman"/>
          <w:sz w:val="22"/>
        </w:rPr>
        <w:t xml:space="preserve">curities exchange; and </w:t>
      </w:r>
    </w:p>
    <w:p w:rsidR="00201B91" w:rsidRPr="00201B91" w:rsidRDefault="00201B91" w:rsidP="00201B91">
      <w:pPr>
        <w:pStyle w:val="ListParagraph"/>
        <w:rPr>
          <w:rFonts w:eastAsia="Times New Roman" w:cs="Times New Roman"/>
          <w:sz w:val="22"/>
        </w:rPr>
      </w:pPr>
    </w:p>
    <w:p w:rsidR="00201B91" w:rsidRDefault="002E7A8F" w:rsidP="00201B91">
      <w:pPr>
        <w:pStyle w:val="ListParagraph"/>
        <w:numPr>
          <w:ilvl w:val="0"/>
          <w:numId w:val="20"/>
        </w:numPr>
        <w:rPr>
          <w:rFonts w:eastAsia="Times New Roman" w:cs="Times New Roman"/>
          <w:sz w:val="22"/>
        </w:rPr>
      </w:pPr>
      <w:r w:rsidRPr="00201B91">
        <w:rPr>
          <w:rFonts w:eastAsia="Times New Roman" w:cs="Times New Roman"/>
          <w:sz w:val="22"/>
        </w:rPr>
        <w:t>Officers or employees of an entity that has a class of equity securities registered under section 12(g) of the Securities Exchange Act.</w:t>
      </w:r>
      <w:r w:rsidR="002270A7" w:rsidRPr="00201B91">
        <w:rPr>
          <w:rFonts w:eastAsia="Times New Roman" w:cs="Times New Roman"/>
          <w:sz w:val="22"/>
        </w:rPr>
        <w:t xml:space="preserve">  </w:t>
      </w:r>
    </w:p>
    <w:p w:rsidR="00201B91" w:rsidRPr="00201B91" w:rsidRDefault="00201B91" w:rsidP="00201B91">
      <w:pPr>
        <w:pStyle w:val="ListParagraph"/>
        <w:rPr>
          <w:rFonts w:eastAsia="Times New Roman" w:cs="Times New Roman"/>
          <w:sz w:val="22"/>
        </w:rPr>
      </w:pPr>
    </w:p>
    <w:p w:rsidR="002E7A8F" w:rsidRPr="00201B91" w:rsidRDefault="002270A7" w:rsidP="00201B91">
      <w:pPr>
        <w:pStyle w:val="ListParagraph"/>
        <w:ind w:left="2880"/>
        <w:rPr>
          <w:rFonts w:eastAsia="Times New Roman" w:cs="Times New Roman"/>
          <w:sz w:val="22"/>
        </w:rPr>
      </w:pPr>
      <w:r w:rsidRPr="00201B91">
        <w:rPr>
          <w:rFonts w:eastAsia="Times New Roman" w:cs="Times New Roman"/>
          <w:sz w:val="22"/>
        </w:rPr>
        <w:t xml:space="preserve">31 C.F.R. § 1010.350(f)(2).  </w:t>
      </w:r>
    </w:p>
    <w:p w:rsidR="002E7A8F" w:rsidRPr="001D3640" w:rsidRDefault="002E7A8F" w:rsidP="002E7A8F">
      <w:pPr>
        <w:ind w:left="1800" w:firstLine="360"/>
        <w:rPr>
          <w:rFonts w:eastAsia="Times New Roman" w:cs="Times New Roman"/>
          <w:sz w:val="22"/>
        </w:rPr>
      </w:pPr>
    </w:p>
    <w:p w:rsidR="002E7A8F" w:rsidRPr="009123F3" w:rsidRDefault="002E7A8F" w:rsidP="009123F3">
      <w:pPr>
        <w:pStyle w:val="ListParagraph"/>
        <w:numPr>
          <w:ilvl w:val="0"/>
          <w:numId w:val="6"/>
        </w:numPr>
        <w:rPr>
          <w:rFonts w:eastAsia="Times New Roman" w:cs="Times New Roman"/>
          <w:sz w:val="22"/>
        </w:rPr>
      </w:pPr>
      <w:r w:rsidRPr="009123F3">
        <w:rPr>
          <w:rFonts w:eastAsia="Times New Roman" w:cs="Times New Roman"/>
          <w:sz w:val="22"/>
          <w:u w:val="single"/>
        </w:rPr>
        <w:t>Bank, Securities, or Other Financial Account</w:t>
      </w:r>
    </w:p>
    <w:p w:rsidR="002E7A8F" w:rsidRPr="001D3640" w:rsidRDefault="002E7A8F" w:rsidP="002E7A8F">
      <w:pPr>
        <w:widowControl w:val="0"/>
        <w:autoSpaceDE w:val="0"/>
        <w:autoSpaceDN w:val="0"/>
        <w:adjustRightInd w:val="0"/>
        <w:spacing w:before="200"/>
        <w:ind w:left="1440"/>
        <w:jc w:val="both"/>
        <w:rPr>
          <w:rFonts w:cs="Times New Roman"/>
          <w:i/>
          <w:color w:val="000000"/>
          <w:sz w:val="22"/>
        </w:rPr>
      </w:pPr>
      <w:r w:rsidRPr="001D3640">
        <w:rPr>
          <w:rFonts w:cs="Times New Roman"/>
          <w:color w:val="000000"/>
          <w:sz w:val="22"/>
        </w:rPr>
        <w:t xml:space="preserve">a. </w:t>
      </w:r>
      <w:r w:rsidRPr="001D3640">
        <w:rPr>
          <w:rFonts w:cs="Times New Roman"/>
          <w:i/>
          <w:color w:val="000000"/>
          <w:sz w:val="22"/>
        </w:rPr>
        <w:t>Bank Account.</w:t>
      </w:r>
      <w:r w:rsidRPr="001D3640">
        <w:rPr>
          <w:rFonts w:cs="Times New Roman"/>
          <w:color w:val="000000"/>
          <w:sz w:val="22"/>
        </w:rPr>
        <w:t xml:space="preserve">  </w:t>
      </w:r>
      <w:r w:rsidRPr="001D3640">
        <w:rPr>
          <w:rFonts w:eastAsia="Times New Roman" w:cs="Times New Roman"/>
          <w:sz w:val="22"/>
        </w:rPr>
        <w:t>The term “bank account” means a savings deposit, demand deposit, checking, or any other account maintained with a person engaged in the business of banking.</w:t>
      </w:r>
      <w:bookmarkStart w:id="0" w:name="co_pp_fcf30000ea9c4_1"/>
      <w:bookmarkEnd w:id="0"/>
      <w:r w:rsidR="002270A7">
        <w:rPr>
          <w:rFonts w:eastAsia="Times New Roman" w:cs="Times New Roman"/>
          <w:sz w:val="22"/>
        </w:rPr>
        <w:t xml:space="preserve">  31 C.F.R. § 1010.350(c)(1).</w:t>
      </w:r>
    </w:p>
    <w:p w:rsidR="002E7A8F" w:rsidRPr="001D3640" w:rsidRDefault="002E7A8F" w:rsidP="002E7A8F">
      <w:pPr>
        <w:widowControl w:val="0"/>
        <w:autoSpaceDE w:val="0"/>
        <w:autoSpaceDN w:val="0"/>
        <w:adjustRightInd w:val="0"/>
        <w:spacing w:before="200"/>
        <w:ind w:left="1440"/>
        <w:jc w:val="both"/>
        <w:rPr>
          <w:rFonts w:cs="Times New Roman"/>
          <w:i/>
          <w:color w:val="000000"/>
          <w:sz w:val="22"/>
        </w:rPr>
      </w:pPr>
      <w:r w:rsidRPr="009123F3">
        <w:rPr>
          <w:rFonts w:cs="Times New Roman"/>
          <w:color w:val="000000"/>
          <w:sz w:val="22"/>
        </w:rPr>
        <w:t>b.</w:t>
      </w:r>
      <w:r w:rsidRPr="001D3640">
        <w:rPr>
          <w:rFonts w:cs="Times New Roman"/>
          <w:i/>
          <w:color w:val="000000"/>
          <w:sz w:val="22"/>
        </w:rPr>
        <w:t xml:space="preserve"> Securities </w:t>
      </w:r>
      <w:r w:rsidR="00042879">
        <w:rPr>
          <w:rFonts w:cs="Times New Roman"/>
          <w:i/>
          <w:color w:val="000000"/>
          <w:sz w:val="22"/>
        </w:rPr>
        <w:t>A</w:t>
      </w:r>
      <w:r w:rsidRPr="001D3640">
        <w:rPr>
          <w:rFonts w:cs="Times New Roman"/>
          <w:i/>
          <w:color w:val="000000"/>
          <w:sz w:val="22"/>
        </w:rPr>
        <w:t>ccount.</w:t>
      </w:r>
      <w:r w:rsidRPr="001D3640">
        <w:rPr>
          <w:rFonts w:cs="Times New Roman"/>
          <w:color w:val="000000"/>
          <w:sz w:val="22"/>
        </w:rPr>
        <w:t xml:space="preserve"> </w:t>
      </w:r>
      <w:r w:rsidRPr="001D3640">
        <w:rPr>
          <w:rFonts w:eastAsia="Times New Roman" w:cs="Times New Roman"/>
          <w:sz w:val="22"/>
        </w:rPr>
        <w:t>The term “securities account” means an account with a person engaged in the business of buying, selling, holding or trading stock or other securities.</w:t>
      </w:r>
      <w:bookmarkStart w:id="1" w:name="co_pp_b1b5000051ac5_1"/>
      <w:bookmarkEnd w:id="1"/>
      <w:r w:rsidR="002270A7">
        <w:rPr>
          <w:rFonts w:eastAsia="Times New Roman" w:cs="Times New Roman"/>
          <w:sz w:val="22"/>
        </w:rPr>
        <w:t xml:space="preserve">  31 C.F.R. § 1010.350(c)(2).</w:t>
      </w:r>
    </w:p>
    <w:p w:rsidR="002E7A8F" w:rsidRPr="001D3640" w:rsidRDefault="002E7A8F" w:rsidP="00A41E46">
      <w:pPr>
        <w:widowControl w:val="0"/>
        <w:autoSpaceDE w:val="0"/>
        <w:autoSpaceDN w:val="0"/>
        <w:adjustRightInd w:val="0"/>
        <w:spacing w:before="200"/>
        <w:ind w:left="1440"/>
        <w:jc w:val="both"/>
        <w:rPr>
          <w:rFonts w:cs="Times New Roman"/>
          <w:i/>
          <w:color w:val="000000"/>
          <w:sz w:val="22"/>
        </w:rPr>
      </w:pPr>
      <w:r w:rsidRPr="009123F3">
        <w:rPr>
          <w:rFonts w:cs="Times New Roman"/>
          <w:color w:val="000000"/>
          <w:sz w:val="22"/>
        </w:rPr>
        <w:t>c.</w:t>
      </w:r>
      <w:r w:rsidRPr="001D3640">
        <w:rPr>
          <w:rFonts w:cs="Times New Roman"/>
          <w:color w:val="000000"/>
          <w:sz w:val="22"/>
        </w:rPr>
        <w:t xml:space="preserve"> </w:t>
      </w:r>
      <w:r w:rsidRPr="001D3640">
        <w:rPr>
          <w:rFonts w:cs="Times New Roman"/>
          <w:i/>
          <w:color w:val="000000"/>
          <w:sz w:val="22"/>
        </w:rPr>
        <w:t xml:space="preserve">Other </w:t>
      </w:r>
      <w:r w:rsidR="00042879">
        <w:rPr>
          <w:rFonts w:cs="Times New Roman"/>
          <w:i/>
          <w:color w:val="000000"/>
          <w:sz w:val="22"/>
        </w:rPr>
        <w:t>F</w:t>
      </w:r>
      <w:r w:rsidRPr="001D3640">
        <w:rPr>
          <w:rFonts w:cs="Times New Roman"/>
          <w:i/>
          <w:color w:val="000000"/>
          <w:sz w:val="22"/>
        </w:rPr>
        <w:t xml:space="preserve">inancial </w:t>
      </w:r>
      <w:r w:rsidR="00042879">
        <w:rPr>
          <w:rFonts w:cs="Times New Roman"/>
          <w:i/>
          <w:color w:val="000000"/>
          <w:sz w:val="22"/>
        </w:rPr>
        <w:t>A</w:t>
      </w:r>
      <w:r w:rsidRPr="001D3640">
        <w:rPr>
          <w:rFonts w:cs="Times New Roman"/>
          <w:i/>
          <w:color w:val="000000"/>
          <w:sz w:val="22"/>
        </w:rPr>
        <w:t>ccount.</w:t>
      </w:r>
      <w:r w:rsidRPr="001D3640">
        <w:rPr>
          <w:rFonts w:cs="Times New Roman"/>
          <w:color w:val="000000"/>
          <w:sz w:val="22"/>
        </w:rPr>
        <w:t xml:space="preserve"> The term “other financial account” means</w:t>
      </w:r>
      <w:r w:rsidR="00A41E46" w:rsidRPr="001D3640">
        <w:rPr>
          <w:rFonts w:cs="Times New Roman"/>
          <w:color w:val="000000"/>
          <w:sz w:val="22"/>
        </w:rPr>
        <w:t>:</w:t>
      </w:r>
    </w:p>
    <w:p w:rsidR="00A41E46" w:rsidRPr="001D3640" w:rsidRDefault="00A41E46" w:rsidP="00201B91">
      <w:pPr>
        <w:widowControl w:val="0"/>
        <w:autoSpaceDE w:val="0"/>
        <w:autoSpaceDN w:val="0"/>
        <w:adjustRightInd w:val="0"/>
        <w:spacing w:before="200"/>
        <w:ind w:left="2520" w:hanging="720"/>
        <w:jc w:val="both"/>
        <w:rPr>
          <w:rFonts w:eastAsia="Times New Roman" w:cs="Times New Roman"/>
          <w:sz w:val="22"/>
        </w:rPr>
      </w:pPr>
      <w:bookmarkStart w:id="2" w:name="co_pp_e97b0000f2de6_1"/>
      <w:bookmarkEnd w:id="2"/>
      <w:r w:rsidRPr="001D3640">
        <w:rPr>
          <w:rFonts w:eastAsia="Times New Roman" w:cs="Times New Roman"/>
          <w:sz w:val="22"/>
        </w:rPr>
        <w:t>i.</w:t>
      </w:r>
      <w:r w:rsidRPr="001D3640">
        <w:rPr>
          <w:rFonts w:eastAsia="Times New Roman" w:cs="Times New Roman"/>
          <w:sz w:val="22"/>
        </w:rPr>
        <w:tab/>
      </w:r>
      <w:r w:rsidR="002E7A8F" w:rsidRPr="001D3640">
        <w:rPr>
          <w:rFonts w:eastAsia="Times New Roman" w:cs="Times New Roman"/>
          <w:sz w:val="22"/>
        </w:rPr>
        <w:t>An account with a person that is in the business of accepting deposits as a financial agency;</w:t>
      </w:r>
      <w:bookmarkStart w:id="3" w:name="co_pp_720e0000a6070_1"/>
      <w:bookmarkEnd w:id="3"/>
    </w:p>
    <w:p w:rsidR="00A41E46" w:rsidRPr="001D3640" w:rsidRDefault="00A41E46" w:rsidP="00201B91">
      <w:pPr>
        <w:widowControl w:val="0"/>
        <w:autoSpaceDE w:val="0"/>
        <w:autoSpaceDN w:val="0"/>
        <w:adjustRightInd w:val="0"/>
        <w:spacing w:before="200"/>
        <w:ind w:left="2520" w:hanging="720"/>
        <w:jc w:val="both"/>
        <w:rPr>
          <w:rFonts w:eastAsia="Times New Roman" w:cs="Times New Roman"/>
          <w:sz w:val="22"/>
        </w:rPr>
      </w:pPr>
      <w:r w:rsidRPr="001D3640">
        <w:rPr>
          <w:rFonts w:eastAsia="Times New Roman" w:cs="Times New Roman"/>
          <w:sz w:val="22"/>
        </w:rPr>
        <w:t>ii.</w:t>
      </w:r>
      <w:r w:rsidRPr="001D3640">
        <w:rPr>
          <w:rFonts w:eastAsia="Times New Roman" w:cs="Times New Roman"/>
          <w:sz w:val="22"/>
        </w:rPr>
        <w:tab/>
      </w:r>
      <w:r w:rsidR="002E7A8F" w:rsidRPr="001D3640">
        <w:rPr>
          <w:rFonts w:eastAsia="Times New Roman" w:cs="Times New Roman"/>
          <w:sz w:val="22"/>
        </w:rPr>
        <w:t>An account that is an insurance or annuity policy with a cash value;</w:t>
      </w:r>
      <w:bookmarkStart w:id="4" w:name="co_pp_7f660000f2150_1"/>
      <w:bookmarkEnd w:id="4"/>
    </w:p>
    <w:p w:rsidR="00A41E46" w:rsidRPr="001D3640" w:rsidRDefault="00A41E46" w:rsidP="00201B91">
      <w:pPr>
        <w:widowControl w:val="0"/>
        <w:autoSpaceDE w:val="0"/>
        <w:autoSpaceDN w:val="0"/>
        <w:adjustRightInd w:val="0"/>
        <w:spacing w:before="200"/>
        <w:ind w:left="2520" w:hanging="720"/>
        <w:jc w:val="both"/>
        <w:rPr>
          <w:rFonts w:eastAsia="Times New Roman" w:cs="Times New Roman"/>
          <w:sz w:val="22"/>
        </w:rPr>
      </w:pPr>
      <w:r w:rsidRPr="001D3640">
        <w:rPr>
          <w:rFonts w:eastAsia="Times New Roman" w:cs="Times New Roman"/>
          <w:sz w:val="22"/>
        </w:rPr>
        <w:t>iii.</w:t>
      </w:r>
      <w:r w:rsidRPr="001D3640">
        <w:rPr>
          <w:rFonts w:eastAsia="Times New Roman" w:cs="Times New Roman"/>
          <w:sz w:val="22"/>
        </w:rPr>
        <w:tab/>
      </w:r>
      <w:r w:rsidR="002E7A8F" w:rsidRPr="001D3640">
        <w:rPr>
          <w:rFonts w:eastAsia="Times New Roman" w:cs="Times New Roman"/>
          <w:sz w:val="22"/>
        </w:rPr>
        <w:t>An account with a person that acts as a broker or dealer for futures or options transactions in any commodity on or subject to the rules of a commodity exchange or association; or</w:t>
      </w:r>
      <w:bookmarkStart w:id="5" w:name="co_pp_672500008c3d1_1"/>
      <w:bookmarkStart w:id="6" w:name="co_pp_2ca70000d3a65_1"/>
      <w:bookmarkEnd w:id="5"/>
      <w:bookmarkEnd w:id="6"/>
    </w:p>
    <w:p w:rsidR="00201B91" w:rsidRDefault="00A41E46" w:rsidP="00201B91">
      <w:pPr>
        <w:widowControl w:val="0"/>
        <w:autoSpaceDE w:val="0"/>
        <w:autoSpaceDN w:val="0"/>
        <w:adjustRightInd w:val="0"/>
        <w:spacing w:before="200"/>
        <w:ind w:left="2520" w:hanging="720"/>
        <w:jc w:val="both"/>
        <w:rPr>
          <w:rFonts w:eastAsia="Times New Roman" w:cs="Times New Roman"/>
          <w:sz w:val="22"/>
        </w:rPr>
      </w:pPr>
      <w:r w:rsidRPr="001D3640">
        <w:rPr>
          <w:rFonts w:eastAsia="Times New Roman" w:cs="Times New Roman"/>
          <w:sz w:val="22"/>
        </w:rPr>
        <w:t>iv.</w:t>
      </w:r>
      <w:r w:rsidRPr="001D3640">
        <w:rPr>
          <w:rFonts w:eastAsia="Times New Roman" w:cs="Times New Roman"/>
          <w:sz w:val="22"/>
        </w:rPr>
        <w:tab/>
      </w:r>
      <w:r w:rsidR="002E7A8F" w:rsidRPr="001D3640">
        <w:rPr>
          <w:rFonts w:eastAsia="Times New Roman" w:cs="Times New Roman"/>
          <w:sz w:val="22"/>
        </w:rPr>
        <w:t>A mutual fund or similar pooled fund which issues shares available to the general public that have a regular net asset value determi</w:t>
      </w:r>
      <w:r w:rsidR="002270A7">
        <w:rPr>
          <w:rFonts w:eastAsia="Times New Roman" w:cs="Times New Roman"/>
          <w:sz w:val="22"/>
        </w:rPr>
        <w:t xml:space="preserve">nation and regular redemptions.  </w:t>
      </w:r>
    </w:p>
    <w:p w:rsidR="002E7A8F" w:rsidRPr="001D3640" w:rsidRDefault="002270A7" w:rsidP="00201B91">
      <w:pPr>
        <w:widowControl w:val="0"/>
        <w:autoSpaceDE w:val="0"/>
        <w:autoSpaceDN w:val="0"/>
        <w:adjustRightInd w:val="0"/>
        <w:spacing w:before="200"/>
        <w:ind w:left="2520"/>
        <w:jc w:val="both"/>
        <w:rPr>
          <w:rFonts w:eastAsia="Times New Roman" w:cs="Times New Roman"/>
          <w:sz w:val="22"/>
        </w:rPr>
      </w:pPr>
      <w:r>
        <w:rPr>
          <w:rFonts w:eastAsia="Times New Roman" w:cs="Times New Roman"/>
          <w:sz w:val="22"/>
        </w:rPr>
        <w:t>31 C.F.R. § 1010.350(c)(3).</w:t>
      </w:r>
    </w:p>
    <w:p w:rsidR="002E7A8F" w:rsidRPr="001D3640" w:rsidRDefault="002E7A8F" w:rsidP="002E7A8F">
      <w:pPr>
        <w:widowControl w:val="0"/>
        <w:autoSpaceDE w:val="0"/>
        <w:autoSpaceDN w:val="0"/>
        <w:adjustRightInd w:val="0"/>
        <w:jc w:val="both"/>
        <w:rPr>
          <w:rFonts w:cs="Times New Roman"/>
          <w:color w:val="000000"/>
          <w:sz w:val="22"/>
        </w:rPr>
      </w:pPr>
      <w:r w:rsidRPr="001D3640">
        <w:rPr>
          <w:rFonts w:cs="Times New Roman"/>
          <w:color w:val="000000"/>
          <w:sz w:val="22"/>
        </w:rPr>
        <w:t> </w:t>
      </w:r>
    </w:p>
    <w:p w:rsidR="00A87228" w:rsidRPr="001D3640" w:rsidRDefault="00A41E46" w:rsidP="00A87228">
      <w:pPr>
        <w:pStyle w:val="ListParagraph"/>
        <w:widowControl w:val="0"/>
        <w:numPr>
          <w:ilvl w:val="0"/>
          <w:numId w:val="2"/>
        </w:numPr>
        <w:autoSpaceDE w:val="0"/>
        <w:autoSpaceDN w:val="0"/>
        <w:adjustRightInd w:val="0"/>
        <w:jc w:val="both"/>
        <w:rPr>
          <w:rFonts w:cs="Times New Roman"/>
          <w:color w:val="000000"/>
          <w:sz w:val="22"/>
          <w:u w:val="single"/>
        </w:rPr>
      </w:pPr>
      <w:r w:rsidRPr="001D3640">
        <w:rPr>
          <w:rFonts w:cs="Times New Roman"/>
          <w:color w:val="000000"/>
          <w:sz w:val="22"/>
          <w:u w:val="single"/>
        </w:rPr>
        <w:t xml:space="preserve">Severe Penalties </w:t>
      </w:r>
      <w:r w:rsidRPr="001D3640">
        <w:rPr>
          <w:rFonts w:cs="Times New Roman"/>
          <w:b/>
          <w:color w:val="000000"/>
          <w:sz w:val="22"/>
          <w:u w:val="single"/>
        </w:rPr>
        <w:t xml:space="preserve">Could </w:t>
      </w:r>
      <w:r w:rsidRPr="001D3640">
        <w:rPr>
          <w:rFonts w:cs="Times New Roman"/>
          <w:color w:val="000000"/>
          <w:sz w:val="22"/>
          <w:u w:val="single"/>
        </w:rPr>
        <w:t>Apply</w:t>
      </w:r>
    </w:p>
    <w:p w:rsidR="00A87228" w:rsidRPr="001D3640" w:rsidRDefault="00A87228" w:rsidP="00A87228">
      <w:pPr>
        <w:widowControl w:val="0"/>
        <w:autoSpaceDE w:val="0"/>
        <w:autoSpaceDN w:val="0"/>
        <w:adjustRightInd w:val="0"/>
        <w:ind w:left="720"/>
        <w:jc w:val="both"/>
        <w:rPr>
          <w:rFonts w:cs="Times New Roman"/>
          <w:color w:val="000000"/>
          <w:sz w:val="22"/>
        </w:rPr>
      </w:pPr>
    </w:p>
    <w:p w:rsidR="00A87228" w:rsidRPr="001D3640" w:rsidRDefault="00A87228" w:rsidP="00A87228">
      <w:pPr>
        <w:pStyle w:val="ListParagraph"/>
        <w:widowControl w:val="0"/>
        <w:numPr>
          <w:ilvl w:val="0"/>
          <w:numId w:val="9"/>
        </w:numPr>
        <w:autoSpaceDE w:val="0"/>
        <w:autoSpaceDN w:val="0"/>
        <w:adjustRightInd w:val="0"/>
        <w:jc w:val="both"/>
        <w:rPr>
          <w:rFonts w:cs="Times New Roman"/>
          <w:color w:val="000000"/>
          <w:sz w:val="22"/>
        </w:rPr>
      </w:pPr>
      <w:r w:rsidRPr="001D3640">
        <w:rPr>
          <w:rFonts w:cs="Times New Roman"/>
          <w:color w:val="000000"/>
          <w:sz w:val="22"/>
          <w:u w:val="single"/>
        </w:rPr>
        <w:t>Civil Penalt</w:t>
      </w:r>
      <w:r w:rsidR="00BF53A2" w:rsidRPr="001D3640">
        <w:rPr>
          <w:rFonts w:cs="Times New Roman"/>
          <w:color w:val="000000"/>
          <w:sz w:val="22"/>
          <w:u w:val="single"/>
        </w:rPr>
        <w:t>ies</w:t>
      </w:r>
      <w:r w:rsidRPr="001D3640">
        <w:rPr>
          <w:rFonts w:cs="Times New Roman"/>
          <w:color w:val="000000"/>
          <w:sz w:val="22"/>
        </w:rPr>
        <w:t>.</w:t>
      </w:r>
    </w:p>
    <w:p w:rsidR="00A87228" w:rsidRPr="001D3640" w:rsidRDefault="00A87228" w:rsidP="00A87228">
      <w:pPr>
        <w:widowControl w:val="0"/>
        <w:autoSpaceDE w:val="0"/>
        <w:autoSpaceDN w:val="0"/>
        <w:adjustRightInd w:val="0"/>
        <w:jc w:val="both"/>
        <w:rPr>
          <w:rFonts w:cs="Times New Roman"/>
          <w:color w:val="000000"/>
          <w:sz w:val="22"/>
        </w:rPr>
      </w:pPr>
    </w:p>
    <w:p w:rsidR="00BF53A2" w:rsidRPr="001D3640" w:rsidRDefault="00BF53A2" w:rsidP="00BF53A2">
      <w:pPr>
        <w:pStyle w:val="ListParagraph"/>
        <w:widowControl w:val="0"/>
        <w:numPr>
          <w:ilvl w:val="1"/>
          <w:numId w:val="2"/>
        </w:numPr>
        <w:autoSpaceDE w:val="0"/>
        <w:autoSpaceDN w:val="0"/>
        <w:adjustRightInd w:val="0"/>
        <w:jc w:val="both"/>
        <w:rPr>
          <w:rFonts w:cs="Times New Roman"/>
          <w:color w:val="000000"/>
          <w:sz w:val="22"/>
        </w:rPr>
      </w:pPr>
      <w:r w:rsidRPr="001D3640">
        <w:rPr>
          <w:rFonts w:cs="Times New Roman"/>
          <w:i/>
          <w:color w:val="000000"/>
          <w:sz w:val="22"/>
        </w:rPr>
        <w:t>Willful Failure to File</w:t>
      </w:r>
      <w:r w:rsidRPr="001D3640">
        <w:rPr>
          <w:rFonts w:cs="Times New Roman"/>
          <w:color w:val="000000"/>
          <w:sz w:val="22"/>
        </w:rPr>
        <w:t xml:space="preserve">.  </w:t>
      </w:r>
      <w:r w:rsidRPr="001D3640">
        <w:rPr>
          <w:rFonts w:cs="Times New Roman"/>
          <w:color w:val="252525"/>
          <w:sz w:val="22"/>
        </w:rPr>
        <w:t xml:space="preserve">Where a taxpayer willfully fails to file an FBAR, the Service may assert a penalty equal to $100,000.00 or 50% of the balance in the account at the time of the violation, whichever amount is </w:t>
      </w:r>
      <w:bookmarkStart w:id="7" w:name="SRC_16"/>
      <w:bookmarkEnd w:id="7"/>
      <w:r w:rsidRPr="001D3640">
        <w:rPr>
          <w:rFonts w:cs="Times New Roman"/>
          <w:color w:val="252525"/>
          <w:sz w:val="22"/>
        </w:rPr>
        <w:t xml:space="preserve">larger.  31 U.S.C. § 5321(a)(5)(C).  </w:t>
      </w:r>
    </w:p>
    <w:p w:rsidR="00BF53A2" w:rsidRPr="001D3640" w:rsidRDefault="00BF53A2" w:rsidP="00BF53A2">
      <w:pPr>
        <w:pStyle w:val="ListParagraph"/>
        <w:widowControl w:val="0"/>
        <w:autoSpaceDE w:val="0"/>
        <w:autoSpaceDN w:val="0"/>
        <w:adjustRightInd w:val="0"/>
        <w:ind w:left="1440"/>
        <w:jc w:val="both"/>
        <w:rPr>
          <w:rFonts w:cs="Times New Roman"/>
          <w:color w:val="000000"/>
          <w:sz w:val="22"/>
        </w:rPr>
      </w:pPr>
    </w:p>
    <w:p w:rsidR="00B27B2E" w:rsidRPr="00515114" w:rsidRDefault="00BF53A2" w:rsidP="00B27B2E">
      <w:pPr>
        <w:pStyle w:val="ListParagraph"/>
        <w:widowControl w:val="0"/>
        <w:numPr>
          <w:ilvl w:val="1"/>
          <w:numId w:val="2"/>
        </w:numPr>
        <w:autoSpaceDE w:val="0"/>
        <w:autoSpaceDN w:val="0"/>
        <w:adjustRightInd w:val="0"/>
        <w:jc w:val="both"/>
        <w:rPr>
          <w:rFonts w:cs="Times New Roman"/>
          <w:color w:val="000000"/>
          <w:sz w:val="22"/>
        </w:rPr>
      </w:pPr>
      <w:r w:rsidRPr="001D3640">
        <w:rPr>
          <w:rFonts w:cs="Times New Roman"/>
          <w:i/>
          <w:color w:val="252525"/>
          <w:sz w:val="22"/>
        </w:rPr>
        <w:t>Non-Willful or Unintentional Failure to File</w:t>
      </w:r>
      <w:r w:rsidRPr="001D3640">
        <w:rPr>
          <w:rFonts w:cs="Times New Roman"/>
          <w:color w:val="252525"/>
          <w:sz w:val="22"/>
        </w:rPr>
        <w:t>.  The Service may impose a $10,000.00 per violation</w:t>
      </w:r>
      <w:r w:rsidR="00515114">
        <w:rPr>
          <w:rFonts w:cs="Times New Roman"/>
          <w:color w:val="252525"/>
          <w:sz w:val="22"/>
        </w:rPr>
        <w:t xml:space="preserve"> (i.e., per account)</w:t>
      </w:r>
      <w:r w:rsidRPr="001D3640">
        <w:rPr>
          <w:rFonts w:cs="Times New Roman"/>
          <w:color w:val="252525"/>
          <w:sz w:val="22"/>
        </w:rPr>
        <w:t xml:space="preserve"> penalty.</w:t>
      </w:r>
      <w:r w:rsidR="00515114">
        <w:rPr>
          <w:rFonts w:cs="Times New Roman"/>
          <w:color w:val="252525"/>
          <w:sz w:val="22"/>
        </w:rPr>
        <w:t xml:space="preserve">  31 U.S.C. § 5321(a)(5)(B</w:t>
      </w:r>
      <w:r w:rsidR="00515114" w:rsidRPr="001D3640">
        <w:rPr>
          <w:rFonts w:cs="Times New Roman"/>
          <w:color w:val="252525"/>
          <w:sz w:val="22"/>
        </w:rPr>
        <w:t>)</w:t>
      </w:r>
      <w:r w:rsidR="00515114">
        <w:rPr>
          <w:rFonts w:cs="Times New Roman"/>
          <w:color w:val="252525"/>
          <w:sz w:val="22"/>
        </w:rPr>
        <w:t>(i).</w:t>
      </w:r>
    </w:p>
    <w:p w:rsidR="00B27B2E" w:rsidRDefault="00B27B2E" w:rsidP="00B27B2E">
      <w:pPr>
        <w:pStyle w:val="ListParagraph"/>
        <w:widowControl w:val="0"/>
        <w:numPr>
          <w:ilvl w:val="0"/>
          <w:numId w:val="14"/>
        </w:numPr>
        <w:autoSpaceDE w:val="0"/>
        <w:autoSpaceDN w:val="0"/>
        <w:adjustRightInd w:val="0"/>
        <w:jc w:val="both"/>
        <w:rPr>
          <w:rFonts w:cs="Times New Roman"/>
          <w:color w:val="000000"/>
          <w:sz w:val="22"/>
        </w:rPr>
      </w:pPr>
      <w:r>
        <w:rPr>
          <w:rFonts w:cs="Times New Roman"/>
          <w:color w:val="000000"/>
          <w:sz w:val="22"/>
        </w:rPr>
        <w:t xml:space="preserve">Additional penalty guidance is provided </w:t>
      </w:r>
      <w:r w:rsidR="00BE3ADD">
        <w:rPr>
          <w:rFonts w:cs="Times New Roman"/>
          <w:color w:val="000000"/>
          <w:sz w:val="22"/>
        </w:rPr>
        <w:t xml:space="preserve">at </w:t>
      </w:r>
      <w:r w:rsidR="00042879">
        <w:rPr>
          <w:rFonts w:cs="Times New Roman"/>
          <w:color w:val="000000"/>
          <w:sz w:val="22"/>
        </w:rPr>
        <w:t>S</w:t>
      </w:r>
      <w:r w:rsidR="00BE3ADD">
        <w:rPr>
          <w:rFonts w:cs="Times New Roman"/>
          <w:color w:val="000000"/>
          <w:sz w:val="22"/>
        </w:rPr>
        <w:t xml:space="preserve">ection </w:t>
      </w:r>
      <w:bookmarkStart w:id="8" w:name="d0e1018"/>
      <w:bookmarkEnd w:id="8"/>
      <w:r w:rsidR="00BE3ADD" w:rsidRPr="00BE3ADD">
        <w:rPr>
          <w:rFonts w:cs="Times New Roman"/>
          <w:color w:val="000000"/>
          <w:sz w:val="22"/>
        </w:rPr>
        <w:t xml:space="preserve">4.26.16.4.6.2 </w:t>
      </w:r>
      <w:r w:rsidR="00BE3ADD">
        <w:rPr>
          <w:rFonts w:cs="Times New Roman"/>
          <w:color w:val="000000"/>
          <w:sz w:val="22"/>
        </w:rPr>
        <w:t>Internal Revenue Manual.</w:t>
      </w:r>
    </w:p>
    <w:p w:rsidR="00B27B2E" w:rsidRDefault="00B27B2E" w:rsidP="00B27B2E">
      <w:pPr>
        <w:widowControl w:val="0"/>
        <w:autoSpaceDE w:val="0"/>
        <w:autoSpaceDN w:val="0"/>
        <w:adjustRightInd w:val="0"/>
        <w:jc w:val="both"/>
        <w:rPr>
          <w:rFonts w:cs="Times New Roman"/>
          <w:color w:val="000000"/>
          <w:sz w:val="22"/>
        </w:rPr>
      </w:pPr>
    </w:p>
    <w:tbl>
      <w:tblPr>
        <w:tblStyle w:val="TableGrid"/>
        <w:tblW w:w="0" w:type="auto"/>
        <w:tblInd w:w="2609" w:type="dxa"/>
        <w:tblLook w:val="04A0"/>
      </w:tblPr>
      <w:tblGrid>
        <w:gridCol w:w="2988"/>
        <w:gridCol w:w="3780"/>
      </w:tblGrid>
      <w:tr w:rsidR="00B27B2E" w:rsidRPr="00BE3ADD" w:rsidTr="00BE3ADD">
        <w:tc>
          <w:tcPr>
            <w:tcW w:w="2988" w:type="dxa"/>
            <w:shd w:val="clear" w:color="auto" w:fill="D9D9D9" w:themeFill="background1" w:themeFillShade="D9"/>
          </w:tcPr>
          <w:p w:rsidR="00B27B2E" w:rsidRPr="00BE3ADD" w:rsidRDefault="00B27B2E" w:rsidP="00BE3ADD">
            <w:pPr>
              <w:widowControl w:val="0"/>
              <w:autoSpaceDE w:val="0"/>
              <w:autoSpaceDN w:val="0"/>
              <w:adjustRightInd w:val="0"/>
              <w:jc w:val="center"/>
              <w:rPr>
                <w:rFonts w:cs="Times New Roman"/>
                <w:b/>
                <w:color w:val="000000"/>
                <w:sz w:val="20"/>
                <w:szCs w:val="20"/>
              </w:rPr>
            </w:pPr>
            <w:r w:rsidRPr="00BE3ADD">
              <w:rPr>
                <w:rFonts w:cs="Times New Roman"/>
                <w:b/>
                <w:color w:val="000000"/>
                <w:sz w:val="20"/>
                <w:szCs w:val="20"/>
              </w:rPr>
              <w:t>A</w:t>
            </w:r>
            <w:r w:rsidR="00BE3ADD" w:rsidRPr="00BE3ADD">
              <w:rPr>
                <w:rFonts w:cs="Times New Roman"/>
                <w:b/>
                <w:color w:val="000000"/>
                <w:sz w:val="20"/>
                <w:szCs w:val="20"/>
              </w:rPr>
              <w:t>ggregate Balance of Accounts</w:t>
            </w:r>
          </w:p>
        </w:tc>
        <w:tc>
          <w:tcPr>
            <w:tcW w:w="3780" w:type="dxa"/>
            <w:shd w:val="clear" w:color="auto" w:fill="D9D9D9" w:themeFill="background1" w:themeFillShade="D9"/>
          </w:tcPr>
          <w:p w:rsidR="00B27B2E" w:rsidRPr="00BE3ADD" w:rsidRDefault="00BE3ADD" w:rsidP="00BE3ADD">
            <w:pPr>
              <w:widowControl w:val="0"/>
              <w:autoSpaceDE w:val="0"/>
              <w:autoSpaceDN w:val="0"/>
              <w:adjustRightInd w:val="0"/>
              <w:jc w:val="center"/>
              <w:rPr>
                <w:rFonts w:cs="Times New Roman"/>
                <w:b/>
                <w:color w:val="000000"/>
                <w:sz w:val="20"/>
                <w:szCs w:val="20"/>
              </w:rPr>
            </w:pPr>
            <w:r w:rsidRPr="00BE3ADD">
              <w:rPr>
                <w:rFonts w:cs="Times New Roman"/>
                <w:b/>
                <w:color w:val="000000"/>
                <w:sz w:val="20"/>
                <w:szCs w:val="20"/>
              </w:rPr>
              <w:t>Penalty</w:t>
            </w:r>
          </w:p>
        </w:tc>
      </w:tr>
      <w:tr w:rsidR="00B27B2E" w:rsidRPr="00BE3ADD" w:rsidTr="00BE3ADD">
        <w:tc>
          <w:tcPr>
            <w:tcW w:w="2988" w:type="dxa"/>
          </w:tcPr>
          <w:p w:rsidR="00B27B2E" w:rsidRPr="00BE3ADD" w:rsidRDefault="00C755CF" w:rsidP="00B27B2E">
            <w:pPr>
              <w:widowControl w:val="0"/>
              <w:autoSpaceDE w:val="0"/>
              <w:autoSpaceDN w:val="0"/>
              <w:adjustRightInd w:val="0"/>
              <w:jc w:val="both"/>
              <w:rPr>
                <w:rFonts w:cs="Times New Roman"/>
                <w:color w:val="000000"/>
                <w:sz w:val="20"/>
                <w:szCs w:val="20"/>
              </w:rPr>
            </w:pPr>
            <w:r w:rsidRPr="00BE3ADD">
              <w:rPr>
                <w:rFonts w:cs="Times New Roman"/>
                <w:color w:val="000000"/>
                <w:sz w:val="20"/>
                <w:szCs w:val="20"/>
              </w:rPr>
              <w:t xml:space="preserve">Does not Exceed </w:t>
            </w:r>
            <w:r w:rsidR="00B27B2E" w:rsidRPr="00BE3ADD">
              <w:rPr>
                <w:rFonts w:cs="Times New Roman"/>
                <w:color w:val="000000"/>
                <w:sz w:val="20"/>
                <w:szCs w:val="20"/>
              </w:rPr>
              <w:t>$50,000.00</w:t>
            </w:r>
          </w:p>
        </w:tc>
        <w:tc>
          <w:tcPr>
            <w:tcW w:w="3780" w:type="dxa"/>
          </w:tcPr>
          <w:p w:rsidR="00B27B2E" w:rsidRPr="00BE3ADD" w:rsidRDefault="00C755CF" w:rsidP="00515114">
            <w:pPr>
              <w:widowControl w:val="0"/>
              <w:autoSpaceDE w:val="0"/>
              <w:autoSpaceDN w:val="0"/>
              <w:adjustRightInd w:val="0"/>
              <w:jc w:val="both"/>
              <w:rPr>
                <w:rFonts w:cs="Times New Roman"/>
                <w:color w:val="000000"/>
                <w:sz w:val="20"/>
                <w:szCs w:val="20"/>
              </w:rPr>
            </w:pPr>
            <w:r w:rsidRPr="00BE3ADD">
              <w:rPr>
                <w:rFonts w:cs="Times New Roman"/>
                <w:color w:val="000000"/>
                <w:sz w:val="20"/>
                <w:szCs w:val="20"/>
              </w:rPr>
              <w:t xml:space="preserve">$500.00 per </w:t>
            </w:r>
            <w:r w:rsidR="00515114">
              <w:rPr>
                <w:rFonts w:cs="Times New Roman"/>
                <w:color w:val="000000"/>
                <w:sz w:val="20"/>
                <w:szCs w:val="20"/>
              </w:rPr>
              <w:t>account</w:t>
            </w:r>
            <w:r w:rsidRPr="00BE3ADD">
              <w:rPr>
                <w:rFonts w:cs="Times New Roman"/>
                <w:color w:val="000000"/>
                <w:sz w:val="20"/>
                <w:szCs w:val="20"/>
              </w:rPr>
              <w:t>, but not to exceed $5,000.00</w:t>
            </w:r>
          </w:p>
        </w:tc>
      </w:tr>
      <w:tr w:rsidR="00B27B2E" w:rsidRPr="00BE3ADD" w:rsidTr="00BE3ADD">
        <w:tc>
          <w:tcPr>
            <w:tcW w:w="2988" w:type="dxa"/>
          </w:tcPr>
          <w:p w:rsidR="00B27B2E" w:rsidRPr="00BE3ADD" w:rsidRDefault="00C755CF" w:rsidP="00B27B2E">
            <w:pPr>
              <w:widowControl w:val="0"/>
              <w:autoSpaceDE w:val="0"/>
              <w:autoSpaceDN w:val="0"/>
              <w:adjustRightInd w:val="0"/>
              <w:jc w:val="both"/>
              <w:rPr>
                <w:rFonts w:cs="Times New Roman"/>
                <w:color w:val="000000"/>
                <w:sz w:val="20"/>
                <w:szCs w:val="20"/>
              </w:rPr>
            </w:pPr>
            <w:r w:rsidRPr="00BE3ADD">
              <w:rPr>
                <w:rFonts w:cs="Times New Roman"/>
                <w:color w:val="000000"/>
                <w:sz w:val="20"/>
                <w:szCs w:val="20"/>
              </w:rPr>
              <w:t>Over $50,000.00 but less than $250,000.00</w:t>
            </w:r>
          </w:p>
        </w:tc>
        <w:tc>
          <w:tcPr>
            <w:tcW w:w="3780" w:type="dxa"/>
          </w:tcPr>
          <w:p w:rsidR="00B27B2E" w:rsidRPr="00BE3ADD" w:rsidRDefault="00515114" w:rsidP="001B1D40">
            <w:pPr>
              <w:widowControl w:val="0"/>
              <w:autoSpaceDE w:val="0"/>
              <w:autoSpaceDN w:val="0"/>
              <w:adjustRightInd w:val="0"/>
              <w:jc w:val="both"/>
              <w:rPr>
                <w:rFonts w:cs="Times New Roman"/>
                <w:color w:val="000000"/>
                <w:sz w:val="20"/>
                <w:szCs w:val="20"/>
              </w:rPr>
            </w:pPr>
            <w:r>
              <w:rPr>
                <w:rFonts w:cs="Times New Roman"/>
                <w:color w:val="000000"/>
                <w:sz w:val="20"/>
                <w:szCs w:val="20"/>
              </w:rPr>
              <w:t>Per account, the l</w:t>
            </w:r>
            <w:r w:rsidR="00C755CF" w:rsidRPr="00BE3ADD">
              <w:rPr>
                <w:rFonts w:cs="Times New Roman"/>
                <w:color w:val="000000"/>
                <w:sz w:val="20"/>
                <w:szCs w:val="20"/>
              </w:rPr>
              <w:t xml:space="preserve">esser of $5,000.00 or </w:t>
            </w:r>
            <w:r w:rsidR="001B1D40">
              <w:rPr>
                <w:rFonts w:cs="Times New Roman"/>
                <w:color w:val="000000"/>
                <w:sz w:val="20"/>
                <w:szCs w:val="20"/>
              </w:rPr>
              <w:t>10%</w:t>
            </w:r>
            <w:r w:rsidR="00C755CF" w:rsidRPr="00BE3ADD">
              <w:rPr>
                <w:rFonts w:cs="Times New Roman"/>
                <w:color w:val="000000"/>
                <w:sz w:val="20"/>
                <w:szCs w:val="20"/>
              </w:rPr>
              <w:t xml:space="preserve"> of</w:t>
            </w:r>
            <w:r>
              <w:rPr>
                <w:rFonts w:cs="Times New Roman"/>
                <w:color w:val="000000"/>
                <w:sz w:val="20"/>
                <w:szCs w:val="20"/>
              </w:rPr>
              <w:t xml:space="preserve"> the account balance</w:t>
            </w:r>
          </w:p>
        </w:tc>
      </w:tr>
      <w:tr w:rsidR="00B27B2E" w:rsidRPr="00BE3ADD" w:rsidTr="00BE3ADD">
        <w:tc>
          <w:tcPr>
            <w:tcW w:w="2988" w:type="dxa"/>
          </w:tcPr>
          <w:p w:rsidR="00B27B2E" w:rsidRPr="00BE3ADD" w:rsidRDefault="00C755CF" w:rsidP="00B27B2E">
            <w:pPr>
              <w:widowControl w:val="0"/>
              <w:autoSpaceDE w:val="0"/>
              <w:autoSpaceDN w:val="0"/>
              <w:adjustRightInd w:val="0"/>
              <w:jc w:val="both"/>
              <w:rPr>
                <w:rFonts w:cs="Times New Roman"/>
                <w:color w:val="000000"/>
                <w:sz w:val="20"/>
                <w:szCs w:val="20"/>
              </w:rPr>
            </w:pPr>
            <w:r w:rsidRPr="00BE3ADD">
              <w:rPr>
                <w:rFonts w:cs="Times New Roman"/>
                <w:color w:val="000000"/>
                <w:sz w:val="20"/>
                <w:szCs w:val="20"/>
              </w:rPr>
              <w:t>Exceeds $250,000.00</w:t>
            </w:r>
          </w:p>
        </w:tc>
        <w:tc>
          <w:tcPr>
            <w:tcW w:w="3780" w:type="dxa"/>
          </w:tcPr>
          <w:p w:rsidR="00B27B2E" w:rsidRPr="00BE3ADD" w:rsidRDefault="001B1D40" w:rsidP="00B27B2E">
            <w:pPr>
              <w:widowControl w:val="0"/>
              <w:autoSpaceDE w:val="0"/>
              <w:autoSpaceDN w:val="0"/>
              <w:adjustRightInd w:val="0"/>
              <w:jc w:val="both"/>
              <w:rPr>
                <w:rFonts w:cs="Times New Roman"/>
                <w:color w:val="000000"/>
                <w:sz w:val="20"/>
                <w:szCs w:val="20"/>
              </w:rPr>
            </w:pPr>
            <w:r>
              <w:rPr>
                <w:rFonts w:cs="Times New Roman"/>
                <w:color w:val="000000"/>
                <w:sz w:val="20"/>
                <w:szCs w:val="20"/>
              </w:rPr>
              <w:t>Statutory m</w:t>
            </w:r>
            <w:r w:rsidR="00C755CF" w:rsidRPr="00BE3ADD">
              <w:rPr>
                <w:rFonts w:cs="Times New Roman"/>
                <w:color w:val="000000"/>
                <w:sz w:val="20"/>
                <w:szCs w:val="20"/>
              </w:rPr>
              <w:t xml:space="preserve">aximum of $10,000.00 per </w:t>
            </w:r>
            <w:r w:rsidR="00515114">
              <w:rPr>
                <w:rFonts w:cs="Times New Roman"/>
                <w:color w:val="000000"/>
                <w:sz w:val="20"/>
                <w:szCs w:val="20"/>
              </w:rPr>
              <w:t xml:space="preserve">account.  </w:t>
            </w:r>
          </w:p>
        </w:tc>
      </w:tr>
    </w:tbl>
    <w:p w:rsidR="00BF53A2" w:rsidRPr="001D3640" w:rsidRDefault="00BF53A2" w:rsidP="00BF53A2">
      <w:pPr>
        <w:pStyle w:val="ListParagraph"/>
        <w:rPr>
          <w:rFonts w:cs="Times New Roman"/>
          <w:color w:val="252525"/>
          <w:sz w:val="22"/>
        </w:rPr>
      </w:pPr>
    </w:p>
    <w:p w:rsidR="00A87228" w:rsidRPr="001D3640" w:rsidRDefault="00BF53A2" w:rsidP="00BF53A2">
      <w:pPr>
        <w:pStyle w:val="ListParagraph"/>
        <w:widowControl w:val="0"/>
        <w:numPr>
          <w:ilvl w:val="0"/>
          <w:numId w:val="9"/>
        </w:numPr>
        <w:autoSpaceDE w:val="0"/>
        <w:autoSpaceDN w:val="0"/>
        <w:adjustRightInd w:val="0"/>
        <w:jc w:val="both"/>
        <w:rPr>
          <w:rFonts w:cs="Times New Roman"/>
          <w:color w:val="000000"/>
          <w:sz w:val="22"/>
        </w:rPr>
      </w:pPr>
      <w:r w:rsidRPr="001D3640">
        <w:rPr>
          <w:rFonts w:cs="Times New Roman"/>
          <w:color w:val="252525"/>
          <w:sz w:val="22"/>
          <w:u w:val="single"/>
        </w:rPr>
        <w:t>Criminal Penalties</w:t>
      </w:r>
      <w:r w:rsidRPr="001D3640">
        <w:rPr>
          <w:rFonts w:cs="Times New Roman"/>
          <w:color w:val="252525"/>
          <w:sz w:val="22"/>
        </w:rPr>
        <w:t>.  For criminal violations, a taxpayer faces a penalty of up to $250,000 and five years in prison</w:t>
      </w:r>
      <w:r w:rsidR="00515114">
        <w:rPr>
          <w:rFonts w:cs="Times New Roman"/>
          <w:color w:val="252525"/>
          <w:sz w:val="22"/>
        </w:rPr>
        <w:t xml:space="preserve">.  31 U.S.C. </w:t>
      </w:r>
      <w:r w:rsidR="00515114" w:rsidRPr="001D3640">
        <w:rPr>
          <w:rFonts w:cs="Times New Roman"/>
          <w:color w:val="252525"/>
          <w:sz w:val="22"/>
        </w:rPr>
        <w:t>§</w:t>
      </w:r>
      <w:r w:rsidR="00515114">
        <w:rPr>
          <w:rFonts w:cs="Times New Roman"/>
          <w:color w:val="252525"/>
          <w:sz w:val="22"/>
        </w:rPr>
        <w:t xml:space="preserve"> 5322(a).  </w:t>
      </w:r>
    </w:p>
    <w:p w:rsidR="001401DB" w:rsidRPr="001D3640" w:rsidRDefault="001401DB" w:rsidP="001401DB">
      <w:pPr>
        <w:pStyle w:val="ListParagraph"/>
        <w:widowControl w:val="0"/>
        <w:autoSpaceDE w:val="0"/>
        <w:autoSpaceDN w:val="0"/>
        <w:adjustRightInd w:val="0"/>
        <w:ind w:left="1080"/>
        <w:jc w:val="both"/>
        <w:rPr>
          <w:rFonts w:cs="Times New Roman"/>
          <w:color w:val="000000"/>
          <w:sz w:val="22"/>
        </w:rPr>
      </w:pPr>
    </w:p>
    <w:p w:rsidR="001401DB" w:rsidRPr="001D3640" w:rsidRDefault="001401DB" w:rsidP="00BF53A2">
      <w:pPr>
        <w:pStyle w:val="ListParagraph"/>
        <w:widowControl w:val="0"/>
        <w:numPr>
          <w:ilvl w:val="0"/>
          <w:numId w:val="9"/>
        </w:numPr>
        <w:autoSpaceDE w:val="0"/>
        <w:autoSpaceDN w:val="0"/>
        <w:adjustRightInd w:val="0"/>
        <w:jc w:val="both"/>
        <w:rPr>
          <w:rFonts w:cs="Times New Roman"/>
          <w:color w:val="000000"/>
          <w:sz w:val="22"/>
        </w:rPr>
      </w:pPr>
      <w:r w:rsidRPr="001D3640">
        <w:rPr>
          <w:rFonts w:cs="Times New Roman"/>
          <w:color w:val="000000"/>
          <w:sz w:val="22"/>
          <w:u w:val="single"/>
        </w:rPr>
        <w:t>Statute of Limitations</w:t>
      </w:r>
      <w:r w:rsidRPr="001D3640">
        <w:rPr>
          <w:rFonts w:cs="Times New Roman"/>
          <w:color w:val="000000"/>
          <w:sz w:val="22"/>
        </w:rPr>
        <w:t xml:space="preserve">.  There is a six-year statute of limitations on the assessment of the civil penalty.  </w:t>
      </w:r>
      <w:r w:rsidR="001371E8">
        <w:rPr>
          <w:rFonts w:cs="Times New Roman"/>
          <w:color w:val="252525"/>
          <w:sz w:val="22"/>
        </w:rPr>
        <w:t xml:space="preserve">31 U.S.C. § 5321(b)(1).  </w:t>
      </w:r>
      <w:r w:rsidRPr="001D3640">
        <w:rPr>
          <w:rFonts w:cs="Times New Roman"/>
          <w:color w:val="252525"/>
          <w:sz w:val="22"/>
        </w:rPr>
        <w:t xml:space="preserve"> </w:t>
      </w:r>
      <w:r w:rsidR="001371E8">
        <w:rPr>
          <w:rFonts w:cs="Times New Roman"/>
          <w:color w:val="000000"/>
          <w:sz w:val="22"/>
        </w:rPr>
        <w:t xml:space="preserve">The criminal statute of limitations is five years.  </w:t>
      </w:r>
      <w:r w:rsidR="001371E8" w:rsidRPr="001371E8">
        <w:rPr>
          <w:rFonts w:cs="Times New Roman"/>
          <w:color w:val="000000"/>
          <w:sz w:val="22"/>
        </w:rPr>
        <w:t>18 U.S.C. 3282</w:t>
      </w:r>
      <w:r w:rsidRPr="001371E8">
        <w:rPr>
          <w:rFonts w:cs="Times New Roman"/>
          <w:color w:val="000000"/>
          <w:sz w:val="22"/>
        </w:rPr>
        <w:t xml:space="preserve"> </w:t>
      </w:r>
    </w:p>
    <w:p w:rsidR="001401DB" w:rsidRPr="001D3640" w:rsidRDefault="001401DB" w:rsidP="001401DB">
      <w:pPr>
        <w:pStyle w:val="ListParagraph"/>
        <w:rPr>
          <w:rFonts w:cs="Times New Roman"/>
          <w:color w:val="252525"/>
          <w:sz w:val="22"/>
        </w:rPr>
      </w:pPr>
    </w:p>
    <w:p w:rsidR="001401DB" w:rsidRPr="001D3640" w:rsidRDefault="001401DB" w:rsidP="00BF53A2">
      <w:pPr>
        <w:pStyle w:val="ListParagraph"/>
        <w:widowControl w:val="0"/>
        <w:numPr>
          <w:ilvl w:val="0"/>
          <w:numId w:val="9"/>
        </w:numPr>
        <w:autoSpaceDE w:val="0"/>
        <w:autoSpaceDN w:val="0"/>
        <w:adjustRightInd w:val="0"/>
        <w:jc w:val="both"/>
        <w:rPr>
          <w:rFonts w:cs="Times New Roman"/>
          <w:color w:val="000000"/>
          <w:sz w:val="22"/>
        </w:rPr>
      </w:pPr>
      <w:r w:rsidRPr="001D3640">
        <w:rPr>
          <w:rFonts w:cs="Times New Roman"/>
          <w:color w:val="252525"/>
          <w:sz w:val="22"/>
          <w:u w:val="single"/>
        </w:rPr>
        <w:t>Method of Assessment</w:t>
      </w:r>
      <w:r w:rsidRPr="001D3640">
        <w:rPr>
          <w:rFonts w:cs="Times New Roman"/>
          <w:color w:val="252525"/>
          <w:sz w:val="22"/>
        </w:rPr>
        <w:t>.  FBAR penalties are Title 31 penalties and, therefore, although the IRS can make an administrative assessment, the IRS does not have the power to collect the penalty by way of lien or levy</w:t>
      </w:r>
      <w:r w:rsidR="00042879">
        <w:rPr>
          <w:rFonts w:cs="Times New Roman"/>
          <w:color w:val="252525"/>
          <w:sz w:val="22"/>
        </w:rPr>
        <w:t>.</w:t>
      </w:r>
      <w:r w:rsidRPr="001D3640">
        <w:rPr>
          <w:rFonts w:cs="Times New Roman"/>
          <w:color w:val="252525"/>
          <w:sz w:val="22"/>
        </w:rPr>
        <w:t xml:space="preserve">  Instead, the government must bring an action to collect the penalty within two years of the date of assessment.  31 U.S.C. § 5321(b)(2).  </w:t>
      </w:r>
    </w:p>
    <w:p w:rsidR="00C90234" w:rsidRPr="001D3640" w:rsidRDefault="00C90234" w:rsidP="00C90234">
      <w:pPr>
        <w:rPr>
          <w:rFonts w:eastAsia="Times New Roman" w:cs="Times New Roman"/>
          <w:sz w:val="22"/>
        </w:rPr>
      </w:pPr>
    </w:p>
    <w:p w:rsidR="00A41E46" w:rsidRPr="001D3640" w:rsidRDefault="00C90234" w:rsidP="00515114">
      <w:pPr>
        <w:rPr>
          <w:rFonts w:eastAsia="Times New Roman" w:cs="Times New Roman"/>
          <w:b/>
          <w:sz w:val="22"/>
        </w:rPr>
      </w:pPr>
      <w:r w:rsidRPr="001D3640">
        <w:rPr>
          <w:rFonts w:eastAsia="Times New Roman" w:cs="Times New Roman"/>
          <w:b/>
          <w:sz w:val="22"/>
        </w:rPr>
        <w:t xml:space="preserve">II. </w:t>
      </w:r>
      <w:r w:rsidR="00A41E46" w:rsidRPr="001D3640">
        <w:rPr>
          <w:rFonts w:eastAsia="Times New Roman" w:cs="Times New Roman"/>
          <w:b/>
          <w:sz w:val="22"/>
        </w:rPr>
        <w:tab/>
      </w:r>
      <w:r w:rsidRPr="001D3640">
        <w:rPr>
          <w:rFonts w:eastAsia="Times New Roman" w:cs="Times New Roman"/>
          <w:b/>
          <w:sz w:val="22"/>
        </w:rPr>
        <w:t>2012 Offshore Voluntary Disclosure Program</w:t>
      </w:r>
    </w:p>
    <w:p w:rsidR="00A41E46" w:rsidRPr="001D3640" w:rsidRDefault="00A41E46" w:rsidP="00A41E46">
      <w:pPr>
        <w:rPr>
          <w:rFonts w:eastAsia="Times New Roman" w:cs="Times New Roman"/>
          <w:b/>
          <w:sz w:val="22"/>
        </w:rPr>
      </w:pPr>
    </w:p>
    <w:p w:rsidR="0096560C" w:rsidRDefault="00A9326A" w:rsidP="0096560C">
      <w:pPr>
        <w:ind w:left="1080" w:hanging="720"/>
        <w:rPr>
          <w:rFonts w:cs="Times New Roman"/>
          <w:color w:val="252525"/>
          <w:sz w:val="22"/>
        </w:rPr>
      </w:pPr>
      <w:r w:rsidRPr="001D3640">
        <w:rPr>
          <w:rFonts w:cs="Times New Roman"/>
          <w:color w:val="252525"/>
          <w:sz w:val="22"/>
        </w:rPr>
        <w:t xml:space="preserve">A. </w:t>
      </w:r>
      <w:r w:rsidRPr="001D3640">
        <w:rPr>
          <w:rFonts w:cs="Times New Roman"/>
          <w:color w:val="252525"/>
          <w:sz w:val="22"/>
        </w:rPr>
        <w:tab/>
      </w:r>
      <w:r w:rsidRPr="001D3640">
        <w:rPr>
          <w:rFonts w:cs="Times New Roman"/>
          <w:color w:val="252525"/>
          <w:sz w:val="22"/>
          <w:u w:val="single"/>
        </w:rPr>
        <w:t>IRS Now on Third Version of Program</w:t>
      </w:r>
      <w:r w:rsidRPr="001D3640">
        <w:rPr>
          <w:rFonts w:cs="Times New Roman"/>
          <w:color w:val="252525"/>
          <w:sz w:val="22"/>
        </w:rPr>
        <w:t xml:space="preserve">.  </w:t>
      </w:r>
      <w:r w:rsidR="00C90234" w:rsidRPr="001D3640">
        <w:rPr>
          <w:rFonts w:cs="Times New Roman"/>
          <w:color w:val="252525"/>
          <w:sz w:val="22"/>
        </w:rPr>
        <w:t>As of June 2012, the</w:t>
      </w:r>
      <w:r w:rsidR="00042879">
        <w:rPr>
          <w:rFonts w:cs="Times New Roman"/>
          <w:color w:val="252525"/>
          <w:sz w:val="22"/>
        </w:rPr>
        <w:t xml:space="preserve"> IRS</w:t>
      </w:r>
      <w:r w:rsidR="00C90234" w:rsidRPr="001D3640">
        <w:rPr>
          <w:rFonts w:cs="Times New Roman"/>
          <w:color w:val="252525"/>
          <w:sz w:val="22"/>
        </w:rPr>
        <w:t xml:space="preserve"> has collected more than $5 billion in back taxes, interest and penalties from 33,000 voluntary disclosures made under the 2009 and 2011 programs.</w:t>
      </w:r>
    </w:p>
    <w:p w:rsidR="0096560C" w:rsidRDefault="0096560C" w:rsidP="0096560C">
      <w:pPr>
        <w:ind w:left="1080" w:hanging="720"/>
        <w:rPr>
          <w:rFonts w:cs="Times New Roman"/>
          <w:color w:val="252525"/>
          <w:sz w:val="22"/>
        </w:rPr>
      </w:pPr>
    </w:p>
    <w:p w:rsidR="00A9326A" w:rsidRPr="00BE3ADD" w:rsidRDefault="00A9326A" w:rsidP="0096560C">
      <w:pPr>
        <w:ind w:left="1080" w:hanging="720"/>
        <w:rPr>
          <w:rFonts w:cs="Times New Roman"/>
          <w:color w:val="252525"/>
          <w:sz w:val="22"/>
        </w:rPr>
      </w:pPr>
      <w:r w:rsidRPr="001D3640">
        <w:rPr>
          <w:rFonts w:cs="Times New Roman"/>
          <w:color w:val="252525"/>
          <w:sz w:val="22"/>
        </w:rPr>
        <w:t xml:space="preserve">B.  </w:t>
      </w:r>
      <w:r w:rsidRPr="001D3640">
        <w:rPr>
          <w:rFonts w:cs="Times New Roman"/>
          <w:color w:val="252525"/>
          <w:sz w:val="22"/>
        </w:rPr>
        <w:tab/>
      </w:r>
      <w:r w:rsidRPr="001D3640">
        <w:rPr>
          <w:rFonts w:cs="Times New Roman"/>
          <w:color w:val="252525"/>
          <w:sz w:val="22"/>
          <w:u w:val="single"/>
        </w:rPr>
        <w:t>Summar</w:t>
      </w:r>
      <w:r w:rsidR="00BE3ADD">
        <w:rPr>
          <w:rFonts w:cs="Times New Roman"/>
          <w:color w:val="252525"/>
          <w:sz w:val="22"/>
          <w:u w:val="single"/>
        </w:rPr>
        <w:t>y of Program</w:t>
      </w:r>
      <w:r w:rsidR="00BE3ADD">
        <w:rPr>
          <w:rFonts w:cs="Times New Roman"/>
          <w:color w:val="252525"/>
          <w:sz w:val="22"/>
        </w:rPr>
        <w:t>.</w:t>
      </w:r>
    </w:p>
    <w:p w:rsidR="00C90234" w:rsidRPr="00C90234" w:rsidRDefault="00C90234" w:rsidP="00C90234">
      <w:pPr>
        <w:pStyle w:val="ListParagraph"/>
        <w:ind w:left="1080"/>
        <w:rPr>
          <w:rFonts w:eastAsia="Times New Roman" w:cs="Times New Roman"/>
          <w:szCs w:val="24"/>
          <w:u w:val="single"/>
        </w:rPr>
      </w:pPr>
    </w:p>
    <w:tbl>
      <w:tblPr>
        <w:tblStyle w:val="TableGrid"/>
        <w:tblW w:w="0" w:type="auto"/>
        <w:tblInd w:w="18" w:type="dxa"/>
        <w:tblLook w:val="04A0"/>
      </w:tblPr>
      <w:tblGrid>
        <w:gridCol w:w="2340"/>
        <w:gridCol w:w="7218"/>
      </w:tblGrid>
      <w:tr w:rsidR="00A41E46" w:rsidTr="00042879">
        <w:tc>
          <w:tcPr>
            <w:tcW w:w="9558" w:type="dxa"/>
            <w:gridSpan w:val="2"/>
            <w:shd w:val="clear" w:color="auto" w:fill="D9D9D9" w:themeFill="background1" w:themeFillShade="D9"/>
          </w:tcPr>
          <w:p w:rsidR="0096560C" w:rsidRPr="0096560C" w:rsidRDefault="0096560C" w:rsidP="00A9326A">
            <w:pPr>
              <w:pStyle w:val="ListParagraph"/>
              <w:ind w:left="0"/>
              <w:jc w:val="center"/>
              <w:rPr>
                <w:rFonts w:eastAsia="Times New Roman" w:cs="Times New Roman"/>
                <w:b/>
                <w:sz w:val="12"/>
                <w:szCs w:val="12"/>
              </w:rPr>
            </w:pPr>
          </w:p>
          <w:p w:rsidR="00A9326A" w:rsidRDefault="00A41E46" w:rsidP="00A9326A">
            <w:pPr>
              <w:pStyle w:val="ListParagraph"/>
              <w:ind w:left="0"/>
              <w:jc w:val="center"/>
              <w:rPr>
                <w:rFonts w:eastAsia="Times New Roman" w:cs="Times New Roman"/>
                <w:b/>
                <w:szCs w:val="24"/>
              </w:rPr>
            </w:pPr>
            <w:r w:rsidRPr="00A9326A">
              <w:rPr>
                <w:rFonts w:eastAsia="Times New Roman" w:cs="Times New Roman"/>
                <w:b/>
                <w:szCs w:val="24"/>
              </w:rPr>
              <w:t>Summary of 2012 Offshore Voluntary Disclosure Program ("2012 OVDP")</w:t>
            </w:r>
          </w:p>
          <w:p w:rsidR="0096560C" w:rsidRPr="0096560C" w:rsidRDefault="0096560C" w:rsidP="00A9326A">
            <w:pPr>
              <w:pStyle w:val="ListParagraph"/>
              <w:ind w:left="0"/>
              <w:jc w:val="center"/>
              <w:rPr>
                <w:rFonts w:eastAsia="Times New Roman" w:cs="Times New Roman"/>
                <w:b/>
                <w:sz w:val="12"/>
                <w:szCs w:val="12"/>
              </w:rPr>
            </w:pPr>
          </w:p>
        </w:tc>
      </w:tr>
      <w:tr w:rsidR="0096560C" w:rsidRPr="00A9326A" w:rsidTr="00042879">
        <w:tc>
          <w:tcPr>
            <w:tcW w:w="2340" w:type="dxa"/>
          </w:tcPr>
          <w:p w:rsidR="0096560C" w:rsidRPr="00573528" w:rsidRDefault="0096560C" w:rsidP="0096560C">
            <w:pPr>
              <w:pStyle w:val="ListParagraph"/>
              <w:ind w:left="0"/>
              <w:rPr>
                <w:rFonts w:eastAsia="Times New Roman" w:cs="Times New Roman"/>
                <w:b/>
                <w:sz w:val="20"/>
                <w:szCs w:val="20"/>
              </w:rPr>
            </w:pPr>
          </w:p>
          <w:p w:rsidR="0096560C" w:rsidRPr="00573528" w:rsidRDefault="0096560C" w:rsidP="0096560C">
            <w:pPr>
              <w:pStyle w:val="ListParagraph"/>
              <w:ind w:left="0"/>
              <w:rPr>
                <w:rFonts w:eastAsia="Times New Roman" w:cs="Times New Roman"/>
                <w:b/>
                <w:sz w:val="20"/>
                <w:szCs w:val="20"/>
              </w:rPr>
            </w:pPr>
            <w:r w:rsidRPr="00573528">
              <w:rPr>
                <w:rFonts w:eastAsia="Times New Roman" w:cs="Times New Roman"/>
                <w:b/>
                <w:sz w:val="20"/>
                <w:szCs w:val="20"/>
              </w:rPr>
              <w:t>General Benefits</w:t>
            </w:r>
          </w:p>
        </w:tc>
        <w:tc>
          <w:tcPr>
            <w:tcW w:w="7218" w:type="dxa"/>
          </w:tcPr>
          <w:p w:rsidR="0096560C" w:rsidRDefault="0096560C" w:rsidP="0096560C">
            <w:pPr>
              <w:pStyle w:val="ListParagraph"/>
              <w:ind w:left="0"/>
              <w:rPr>
                <w:rFonts w:cs="Times New Roman"/>
                <w:color w:val="000000"/>
                <w:sz w:val="20"/>
                <w:szCs w:val="20"/>
              </w:rPr>
            </w:pPr>
          </w:p>
          <w:p w:rsidR="0096560C" w:rsidRPr="00A9326A" w:rsidRDefault="001371E8" w:rsidP="0096560C">
            <w:pPr>
              <w:pStyle w:val="ListParagraph"/>
              <w:ind w:left="0"/>
              <w:rPr>
                <w:rFonts w:cs="Times New Roman"/>
                <w:color w:val="000000"/>
                <w:sz w:val="20"/>
                <w:szCs w:val="20"/>
              </w:rPr>
            </w:pPr>
            <w:r>
              <w:rPr>
                <w:rFonts w:cs="Times New Roman"/>
                <w:color w:val="000000"/>
                <w:sz w:val="20"/>
                <w:szCs w:val="20"/>
              </w:rPr>
              <w:t>1. El</w:t>
            </w:r>
            <w:r w:rsidR="0096560C" w:rsidRPr="00A9326A">
              <w:rPr>
                <w:rFonts w:cs="Times New Roman"/>
                <w:color w:val="000000"/>
                <w:sz w:val="20"/>
                <w:szCs w:val="20"/>
              </w:rPr>
              <w:t>iminates the risk of criminal prosecution</w:t>
            </w:r>
          </w:p>
          <w:p w:rsidR="0096560C" w:rsidRPr="00A9326A" w:rsidRDefault="0096560C" w:rsidP="0096560C">
            <w:pPr>
              <w:pStyle w:val="ListParagraph"/>
              <w:ind w:left="0"/>
              <w:rPr>
                <w:rFonts w:cs="Times New Roman"/>
                <w:color w:val="000000"/>
                <w:sz w:val="20"/>
                <w:szCs w:val="20"/>
              </w:rPr>
            </w:pPr>
          </w:p>
          <w:p w:rsidR="0096560C" w:rsidRPr="00A9326A" w:rsidRDefault="0096560C" w:rsidP="0096560C">
            <w:pPr>
              <w:pStyle w:val="ListParagraph"/>
              <w:ind w:left="0"/>
              <w:rPr>
                <w:rFonts w:cs="Times New Roman"/>
                <w:color w:val="000000"/>
                <w:sz w:val="20"/>
                <w:szCs w:val="20"/>
              </w:rPr>
            </w:pPr>
            <w:r w:rsidRPr="00A9326A">
              <w:rPr>
                <w:rFonts w:cs="Times New Roman"/>
                <w:color w:val="000000"/>
                <w:sz w:val="20"/>
                <w:szCs w:val="20"/>
              </w:rPr>
              <w:t>2.  Certainty concerning cost of resolving offshore tax issues.</w:t>
            </w:r>
          </w:p>
          <w:p w:rsidR="0096560C" w:rsidRPr="00A9326A" w:rsidRDefault="0096560C" w:rsidP="0096560C">
            <w:pPr>
              <w:pStyle w:val="ListParagraph"/>
              <w:ind w:left="0"/>
              <w:rPr>
                <w:rFonts w:eastAsia="Times New Roman" w:cs="Times New Roman"/>
                <w:sz w:val="20"/>
                <w:szCs w:val="20"/>
                <w:u w:val="single"/>
              </w:rPr>
            </w:pPr>
            <w:r w:rsidRPr="00A9326A">
              <w:rPr>
                <w:rFonts w:cs="Times New Roman"/>
                <w:color w:val="000000"/>
                <w:sz w:val="20"/>
                <w:szCs w:val="20"/>
              </w:rPr>
              <w:t xml:space="preserve">  </w:t>
            </w:r>
          </w:p>
        </w:tc>
      </w:tr>
      <w:tr w:rsidR="00BC7F22" w:rsidTr="00042879">
        <w:tc>
          <w:tcPr>
            <w:tcW w:w="2340" w:type="dxa"/>
          </w:tcPr>
          <w:p w:rsidR="0096560C" w:rsidRPr="00573528" w:rsidRDefault="0096560C" w:rsidP="00C90234">
            <w:pPr>
              <w:pStyle w:val="ListParagraph"/>
              <w:ind w:left="0"/>
              <w:rPr>
                <w:rFonts w:eastAsia="Times New Roman" w:cs="Times New Roman"/>
                <w:b/>
                <w:sz w:val="20"/>
                <w:szCs w:val="20"/>
              </w:rPr>
            </w:pPr>
          </w:p>
          <w:p w:rsidR="00BC7F22" w:rsidRPr="00573528" w:rsidRDefault="00993A19" w:rsidP="00C90234">
            <w:pPr>
              <w:pStyle w:val="ListParagraph"/>
              <w:ind w:left="0"/>
              <w:rPr>
                <w:rFonts w:eastAsia="Times New Roman" w:cs="Times New Roman"/>
                <w:b/>
                <w:sz w:val="20"/>
                <w:szCs w:val="20"/>
              </w:rPr>
            </w:pPr>
            <w:r w:rsidRPr="00573528">
              <w:rPr>
                <w:rFonts w:eastAsia="Times New Roman" w:cs="Times New Roman"/>
                <w:b/>
                <w:sz w:val="20"/>
                <w:szCs w:val="20"/>
              </w:rPr>
              <w:t>Eligibility</w:t>
            </w:r>
          </w:p>
        </w:tc>
        <w:tc>
          <w:tcPr>
            <w:tcW w:w="7218" w:type="dxa"/>
          </w:tcPr>
          <w:p w:rsidR="0096560C" w:rsidRDefault="0096560C" w:rsidP="0096560C">
            <w:pPr>
              <w:pStyle w:val="ListParagraph"/>
              <w:ind w:left="0"/>
              <w:jc w:val="both"/>
              <w:rPr>
                <w:rFonts w:eastAsia="Times New Roman" w:cs="Times New Roman"/>
                <w:sz w:val="20"/>
                <w:szCs w:val="20"/>
              </w:rPr>
            </w:pPr>
          </w:p>
          <w:p w:rsidR="00BC7F22" w:rsidRPr="00A9326A" w:rsidRDefault="00BC7F22" w:rsidP="0096560C">
            <w:pPr>
              <w:pStyle w:val="ListParagraph"/>
              <w:ind w:left="0"/>
              <w:jc w:val="both"/>
              <w:rPr>
                <w:rFonts w:eastAsia="Times New Roman" w:cs="Times New Roman"/>
                <w:sz w:val="20"/>
                <w:szCs w:val="20"/>
              </w:rPr>
            </w:pPr>
            <w:r w:rsidRPr="00A9326A">
              <w:rPr>
                <w:rFonts w:eastAsia="Times New Roman" w:cs="Times New Roman"/>
                <w:sz w:val="20"/>
                <w:szCs w:val="20"/>
              </w:rPr>
              <w:t>Individuals and entities with undisclosed offshore accounts or assets who:</w:t>
            </w:r>
          </w:p>
          <w:p w:rsidR="00BC7F22" w:rsidRPr="0096560C" w:rsidRDefault="00BC7F22" w:rsidP="0096560C">
            <w:pPr>
              <w:pStyle w:val="ListParagraph"/>
              <w:ind w:left="0"/>
              <w:jc w:val="both"/>
              <w:rPr>
                <w:rFonts w:eastAsia="Times New Roman" w:cs="Times New Roman"/>
                <w:sz w:val="8"/>
                <w:szCs w:val="8"/>
              </w:rPr>
            </w:pPr>
          </w:p>
          <w:p w:rsidR="00BC7F22" w:rsidRPr="00A9326A" w:rsidRDefault="00BC7F22" w:rsidP="0096560C">
            <w:pPr>
              <w:jc w:val="both"/>
              <w:rPr>
                <w:rFonts w:eastAsia="Times New Roman" w:cs="Times New Roman"/>
                <w:sz w:val="20"/>
                <w:szCs w:val="20"/>
              </w:rPr>
            </w:pPr>
            <w:r w:rsidRPr="00A9326A">
              <w:rPr>
                <w:rFonts w:eastAsia="Times New Roman" w:cs="Times New Roman"/>
                <w:sz w:val="20"/>
                <w:szCs w:val="20"/>
              </w:rPr>
              <w:t xml:space="preserve">1. Are not currently under examination, regardless of whether it relates to undisclosed foreign accounts or undisclosed foreign </w:t>
            </w:r>
            <w:r w:rsidR="0096560C" w:rsidRPr="00A9326A">
              <w:rPr>
                <w:rFonts w:eastAsia="Times New Roman" w:cs="Times New Roman"/>
                <w:sz w:val="20"/>
                <w:szCs w:val="20"/>
              </w:rPr>
              <w:t>entities</w:t>
            </w:r>
            <w:r w:rsidRPr="00A9326A">
              <w:rPr>
                <w:rFonts w:eastAsia="Times New Roman" w:cs="Times New Roman"/>
                <w:sz w:val="20"/>
                <w:szCs w:val="20"/>
              </w:rPr>
              <w:t>.</w:t>
            </w:r>
          </w:p>
          <w:p w:rsidR="00BC7F22" w:rsidRPr="0096560C" w:rsidRDefault="00BC7F22" w:rsidP="0096560C">
            <w:pPr>
              <w:jc w:val="both"/>
              <w:rPr>
                <w:rFonts w:eastAsia="Times New Roman" w:cs="Times New Roman"/>
                <w:sz w:val="8"/>
                <w:szCs w:val="8"/>
              </w:rPr>
            </w:pPr>
          </w:p>
          <w:p w:rsidR="00BC7F22" w:rsidRPr="00A9326A" w:rsidRDefault="00BC7F22" w:rsidP="0096560C">
            <w:pPr>
              <w:jc w:val="both"/>
              <w:rPr>
                <w:rFonts w:eastAsia="Times New Roman" w:cs="Times New Roman"/>
                <w:sz w:val="20"/>
                <w:szCs w:val="20"/>
              </w:rPr>
            </w:pPr>
            <w:r w:rsidRPr="00A9326A">
              <w:rPr>
                <w:rFonts w:eastAsia="Times New Roman" w:cs="Times New Roman"/>
                <w:sz w:val="20"/>
                <w:szCs w:val="20"/>
              </w:rPr>
              <w:t xml:space="preserve">2. </w:t>
            </w:r>
            <w:r w:rsidR="00887F48">
              <w:rPr>
                <w:rFonts w:eastAsia="Times New Roman" w:cs="Times New Roman"/>
                <w:sz w:val="20"/>
                <w:szCs w:val="20"/>
              </w:rPr>
              <w:t xml:space="preserve">Are not under </w:t>
            </w:r>
            <w:r w:rsidR="00042879" w:rsidRPr="00A9326A">
              <w:rPr>
                <w:rFonts w:eastAsia="Times New Roman" w:cs="Times New Roman"/>
                <w:sz w:val="20"/>
                <w:szCs w:val="20"/>
              </w:rPr>
              <w:t>criminal</w:t>
            </w:r>
            <w:r w:rsidRPr="00A9326A">
              <w:rPr>
                <w:rFonts w:eastAsia="Times New Roman" w:cs="Times New Roman"/>
                <w:sz w:val="20"/>
                <w:szCs w:val="20"/>
              </w:rPr>
              <w:t xml:space="preserve"> investigation by IRS Criminal Investigation Division</w:t>
            </w:r>
            <w:r w:rsidR="00887F48">
              <w:rPr>
                <w:rFonts w:eastAsia="Times New Roman" w:cs="Times New Roman"/>
                <w:sz w:val="20"/>
                <w:szCs w:val="20"/>
              </w:rPr>
              <w:t>.</w:t>
            </w:r>
          </w:p>
          <w:p w:rsidR="00BC7F22" w:rsidRPr="00A9326A" w:rsidRDefault="00BC7F22" w:rsidP="0096560C">
            <w:pPr>
              <w:jc w:val="both"/>
              <w:rPr>
                <w:rFonts w:eastAsia="Times New Roman" w:cs="Times New Roman"/>
                <w:sz w:val="20"/>
                <w:szCs w:val="20"/>
              </w:rPr>
            </w:pPr>
          </w:p>
          <w:p w:rsidR="005806E1" w:rsidRPr="00A9326A" w:rsidRDefault="00BC7F22" w:rsidP="0096560C">
            <w:pPr>
              <w:jc w:val="both"/>
              <w:rPr>
                <w:rFonts w:eastAsia="Times New Roman" w:cs="Times New Roman"/>
                <w:sz w:val="20"/>
                <w:szCs w:val="20"/>
              </w:rPr>
            </w:pPr>
            <w:r w:rsidRPr="00A9326A">
              <w:rPr>
                <w:rFonts w:eastAsia="Times New Roman" w:cs="Times New Roman"/>
                <w:sz w:val="20"/>
                <w:szCs w:val="20"/>
              </w:rPr>
              <w:t>However, those</w:t>
            </w:r>
            <w:r w:rsidR="00042879">
              <w:rPr>
                <w:rFonts w:eastAsia="Times New Roman" w:cs="Times New Roman"/>
                <w:sz w:val="20"/>
                <w:szCs w:val="20"/>
              </w:rPr>
              <w:t xml:space="preserve"> who</w:t>
            </w:r>
            <w:r w:rsidRPr="00A9326A">
              <w:rPr>
                <w:rFonts w:eastAsia="Times New Roman" w:cs="Times New Roman"/>
                <w:sz w:val="20"/>
                <w:szCs w:val="20"/>
              </w:rPr>
              <w:t xml:space="preserve"> have paid tax on all taxable income but did not file FBARS </w:t>
            </w:r>
            <w:r w:rsidRPr="00A9326A">
              <w:rPr>
                <w:rFonts w:eastAsia="Times New Roman" w:cs="Times New Roman"/>
                <w:b/>
                <w:sz w:val="20"/>
                <w:szCs w:val="20"/>
              </w:rPr>
              <w:t>should not</w:t>
            </w:r>
            <w:r w:rsidRPr="00A9326A">
              <w:rPr>
                <w:rFonts w:eastAsia="Times New Roman" w:cs="Times New Roman"/>
                <w:sz w:val="20"/>
                <w:szCs w:val="20"/>
              </w:rPr>
              <w:t xml:space="preserve"> make a voluntary disclosure.</w:t>
            </w:r>
            <w:r w:rsidR="005806E1" w:rsidRPr="00A9326A">
              <w:rPr>
                <w:rFonts w:eastAsia="Times New Roman" w:cs="Times New Roman"/>
                <w:sz w:val="20"/>
                <w:szCs w:val="20"/>
              </w:rPr>
              <w:t xml:space="preserve">  Instead</w:t>
            </w:r>
            <w:r w:rsidR="00042879">
              <w:rPr>
                <w:rFonts w:eastAsia="Times New Roman" w:cs="Times New Roman"/>
                <w:sz w:val="20"/>
                <w:szCs w:val="20"/>
              </w:rPr>
              <w:t>, they</w:t>
            </w:r>
            <w:r w:rsidR="005806E1" w:rsidRPr="00A9326A">
              <w:rPr>
                <w:rFonts w:eastAsia="Times New Roman" w:cs="Times New Roman"/>
                <w:sz w:val="20"/>
                <w:szCs w:val="20"/>
              </w:rPr>
              <w:t xml:space="preserve"> should f</w:t>
            </w:r>
            <w:r w:rsidR="0096560C">
              <w:rPr>
                <w:rFonts w:eastAsia="Times New Roman" w:cs="Times New Roman"/>
                <w:sz w:val="20"/>
                <w:szCs w:val="20"/>
              </w:rPr>
              <w:t xml:space="preserve">ile the delinquent FBAR reports.  </w:t>
            </w:r>
            <w:r w:rsidR="005806E1" w:rsidRPr="00A9326A">
              <w:rPr>
                <w:rFonts w:eastAsia="Times New Roman" w:cs="Times New Roman"/>
                <w:sz w:val="20"/>
                <w:szCs w:val="20"/>
              </w:rPr>
              <w:t xml:space="preserve">The IRS </w:t>
            </w:r>
            <w:r w:rsidR="005806E1" w:rsidRPr="0096560C">
              <w:rPr>
                <w:rFonts w:eastAsia="Times New Roman" w:cs="Times New Roman"/>
                <w:b/>
                <w:sz w:val="20"/>
                <w:szCs w:val="20"/>
              </w:rPr>
              <w:t>will not impose a penalty</w:t>
            </w:r>
            <w:r w:rsidR="005806E1" w:rsidRPr="00A9326A">
              <w:rPr>
                <w:rFonts w:eastAsia="Times New Roman" w:cs="Times New Roman"/>
                <w:sz w:val="20"/>
                <w:szCs w:val="20"/>
              </w:rPr>
              <w:t xml:space="preserve"> for the failure to file the delinquent FBARs if there are no underreported tax liabilities and </w:t>
            </w:r>
            <w:r w:rsidR="00887F48">
              <w:rPr>
                <w:rFonts w:eastAsia="Times New Roman" w:cs="Times New Roman"/>
                <w:sz w:val="20"/>
                <w:szCs w:val="20"/>
              </w:rPr>
              <w:t xml:space="preserve">the </w:t>
            </w:r>
            <w:r w:rsidR="0096560C">
              <w:rPr>
                <w:rFonts w:eastAsia="Times New Roman" w:cs="Times New Roman"/>
                <w:sz w:val="20"/>
                <w:szCs w:val="20"/>
              </w:rPr>
              <w:t xml:space="preserve">taxpayer is not under audit </w:t>
            </w:r>
            <w:r w:rsidR="0096560C">
              <w:rPr>
                <w:rFonts w:eastAsia="Times New Roman" w:cs="Times New Roman"/>
                <w:sz w:val="20"/>
                <w:szCs w:val="20"/>
              </w:rPr>
              <w:lastRenderedPageBreak/>
              <w:t xml:space="preserve">and has not been contacted by the IRS concerning the return.  </w:t>
            </w:r>
            <w:r w:rsidR="005806E1" w:rsidRPr="00A9326A">
              <w:rPr>
                <w:rFonts w:eastAsia="Times New Roman" w:cs="Times New Roman"/>
                <w:sz w:val="20"/>
                <w:szCs w:val="20"/>
              </w:rPr>
              <w:t xml:space="preserve">Additionally, those who have </w:t>
            </w:r>
            <w:r w:rsidR="00042879">
              <w:rPr>
                <w:rFonts w:eastAsia="Times New Roman" w:cs="Times New Roman"/>
                <w:sz w:val="20"/>
                <w:szCs w:val="20"/>
              </w:rPr>
              <w:t>failed</w:t>
            </w:r>
            <w:r w:rsidR="005806E1" w:rsidRPr="00A9326A">
              <w:rPr>
                <w:rFonts w:eastAsia="Times New Roman" w:cs="Times New Roman"/>
                <w:sz w:val="20"/>
                <w:szCs w:val="20"/>
              </w:rPr>
              <w:t xml:space="preserve"> to file other non-FBAR information returns (e.g., Forms 3520 and 5471) but have reported all income should file delinquent information returns with the appropriate service center.  </w:t>
            </w:r>
          </w:p>
          <w:p w:rsidR="005806E1" w:rsidRPr="00A9326A" w:rsidRDefault="005806E1" w:rsidP="0096560C">
            <w:pPr>
              <w:jc w:val="both"/>
              <w:rPr>
                <w:rFonts w:eastAsia="Times New Roman" w:cs="Times New Roman"/>
                <w:sz w:val="20"/>
                <w:szCs w:val="20"/>
              </w:rPr>
            </w:pPr>
          </w:p>
          <w:p w:rsidR="00D042EE" w:rsidRPr="00A9326A" w:rsidRDefault="00042879" w:rsidP="0096560C">
            <w:pPr>
              <w:jc w:val="both"/>
              <w:rPr>
                <w:rFonts w:eastAsia="Times New Roman" w:cs="Times New Roman"/>
                <w:sz w:val="20"/>
                <w:szCs w:val="20"/>
              </w:rPr>
            </w:pPr>
            <w:r>
              <w:rPr>
                <w:rFonts w:eastAsia="Times New Roman" w:cs="Times New Roman"/>
                <w:sz w:val="20"/>
                <w:szCs w:val="20"/>
              </w:rPr>
              <w:t xml:space="preserve">A </w:t>
            </w:r>
            <w:r w:rsidR="00D042EE" w:rsidRPr="00A9326A">
              <w:rPr>
                <w:rFonts w:eastAsia="Times New Roman" w:cs="Times New Roman"/>
                <w:sz w:val="20"/>
                <w:szCs w:val="20"/>
              </w:rPr>
              <w:t xml:space="preserve">John Doe summons or treaty request does not disqualify everyone in group, but once </w:t>
            </w:r>
            <w:r w:rsidR="005806E1" w:rsidRPr="00A9326A">
              <w:rPr>
                <w:rFonts w:eastAsia="Times New Roman" w:cs="Times New Roman"/>
                <w:sz w:val="20"/>
                <w:szCs w:val="20"/>
              </w:rPr>
              <w:t xml:space="preserve">the Service or the </w:t>
            </w:r>
            <w:r w:rsidR="00D042EE" w:rsidRPr="00A9326A">
              <w:rPr>
                <w:rFonts w:eastAsia="Times New Roman" w:cs="Times New Roman"/>
                <w:sz w:val="20"/>
                <w:szCs w:val="20"/>
              </w:rPr>
              <w:t>DOJ</w:t>
            </w:r>
            <w:r w:rsidR="005806E1" w:rsidRPr="00A9326A">
              <w:rPr>
                <w:rFonts w:eastAsia="Times New Roman" w:cs="Times New Roman"/>
                <w:sz w:val="20"/>
                <w:szCs w:val="20"/>
              </w:rPr>
              <w:t xml:space="preserve"> obtains information under a John Doe summons, treaty request or other similar action</w:t>
            </w:r>
            <w:r>
              <w:rPr>
                <w:rFonts w:eastAsia="Times New Roman" w:cs="Times New Roman"/>
                <w:sz w:val="20"/>
                <w:szCs w:val="20"/>
              </w:rPr>
              <w:t>,</w:t>
            </w:r>
            <w:r w:rsidR="005806E1" w:rsidRPr="00A9326A">
              <w:rPr>
                <w:rFonts w:eastAsia="Times New Roman" w:cs="Times New Roman"/>
                <w:sz w:val="20"/>
                <w:szCs w:val="20"/>
              </w:rPr>
              <w:t xml:space="preserve"> </w:t>
            </w:r>
            <w:r w:rsidR="0096560C">
              <w:rPr>
                <w:rFonts w:eastAsia="Times New Roman" w:cs="Times New Roman"/>
                <w:sz w:val="20"/>
                <w:szCs w:val="20"/>
              </w:rPr>
              <w:t>the taxpayer is no longer eligible</w:t>
            </w:r>
          </w:p>
          <w:p w:rsidR="0096560C" w:rsidRDefault="0096560C" w:rsidP="0096560C">
            <w:pPr>
              <w:jc w:val="both"/>
              <w:rPr>
                <w:rFonts w:eastAsia="Times New Roman" w:cs="Times New Roman"/>
                <w:sz w:val="20"/>
                <w:szCs w:val="20"/>
              </w:rPr>
            </w:pPr>
          </w:p>
          <w:p w:rsidR="005806E1" w:rsidRPr="00A9326A" w:rsidRDefault="005806E1" w:rsidP="0096560C">
            <w:pPr>
              <w:jc w:val="both"/>
              <w:rPr>
                <w:rFonts w:eastAsia="Times New Roman" w:cs="Times New Roman"/>
                <w:sz w:val="20"/>
                <w:szCs w:val="20"/>
              </w:rPr>
            </w:pPr>
            <w:r w:rsidRPr="00A9326A">
              <w:rPr>
                <w:rFonts w:eastAsia="Times New Roman" w:cs="Times New Roman"/>
                <w:sz w:val="20"/>
                <w:szCs w:val="20"/>
              </w:rPr>
              <w:t xml:space="preserve">Non-resident taxpayers may qualify for a new program (discussed below).  </w:t>
            </w:r>
          </w:p>
          <w:p w:rsidR="00BC7F22" w:rsidRPr="00A9326A" w:rsidRDefault="00BC7F22" w:rsidP="00BC7F22">
            <w:pPr>
              <w:rPr>
                <w:rFonts w:eastAsia="Times New Roman" w:cs="Times New Roman"/>
                <w:sz w:val="20"/>
                <w:szCs w:val="20"/>
              </w:rPr>
            </w:pPr>
          </w:p>
        </w:tc>
      </w:tr>
      <w:tr w:rsidR="00606FCA" w:rsidTr="00042879">
        <w:tc>
          <w:tcPr>
            <w:tcW w:w="2340" w:type="dxa"/>
          </w:tcPr>
          <w:p w:rsidR="0096560C" w:rsidRPr="00573528" w:rsidRDefault="0096560C" w:rsidP="00C90234">
            <w:pPr>
              <w:pStyle w:val="ListParagraph"/>
              <w:ind w:left="0"/>
              <w:rPr>
                <w:rFonts w:eastAsia="Times New Roman" w:cs="Times New Roman"/>
                <w:b/>
                <w:sz w:val="20"/>
                <w:szCs w:val="20"/>
              </w:rPr>
            </w:pPr>
          </w:p>
          <w:p w:rsidR="00C90234" w:rsidRPr="00573528" w:rsidRDefault="00C90234" w:rsidP="00C90234">
            <w:pPr>
              <w:pStyle w:val="ListParagraph"/>
              <w:ind w:left="0"/>
              <w:rPr>
                <w:rFonts w:eastAsia="Times New Roman" w:cs="Times New Roman"/>
                <w:b/>
                <w:sz w:val="20"/>
                <w:szCs w:val="20"/>
              </w:rPr>
            </w:pPr>
            <w:r w:rsidRPr="00573528">
              <w:rPr>
                <w:rFonts w:eastAsia="Times New Roman" w:cs="Times New Roman"/>
                <w:b/>
                <w:sz w:val="20"/>
                <w:szCs w:val="20"/>
              </w:rPr>
              <w:t>Deadline</w:t>
            </w:r>
          </w:p>
        </w:tc>
        <w:tc>
          <w:tcPr>
            <w:tcW w:w="7218" w:type="dxa"/>
          </w:tcPr>
          <w:p w:rsidR="0096560C" w:rsidRDefault="0096560C" w:rsidP="00C90234">
            <w:pPr>
              <w:pStyle w:val="ListParagraph"/>
              <w:ind w:left="0"/>
              <w:rPr>
                <w:rFonts w:eastAsia="Times New Roman" w:cs="Times New Roman"/>
                <w:sz w:val="20"/>
                <w:szCs w:val="20"/>
              </w:rPr>
            </w:pPr>
          </w:p>
          <w:p w:rsidR="00C90234" w:rsidRDefault="00C90234" w:rsidP="00042879">
            <w:pPr>
              <w:pStyle w:val="ListParagraph"/>
              <w:ind w:left="0"/>
              <w:rPr>
                <w:rFonts w:eastAsia="Times New Roman" w:cs="Times New Roman"/>
                <w:sz w:val="20"/>
                <w:szCs w:val="20"/>
              </w:rPr>
            </w:pPr>
            <w:r w:rsidRPr="00A9326A">
              <w:rPr>
                <w:rFonts w:eastAsia="Times New Roman" w:cs="Times New Roman"/>
                <w:sz w:val="20"/>
                <w:szCs w:val="20"/>
              </w:rPr>
              <w:t>Unlike prior programs, there is no set deadline for taxpayers to apply, but the program could close or the</w:t>
            </w:r>
            <w:r w:rsidR="00606FCA" w:rsidRPr="00A9326A">
              <w:rPr>
                <w:rFonts w:eastAsia="Times New Roman" w:cs="Times New Roman"/>
                <w:sz w:val="20"/>
                <w:szCs w:val="20"/>
              </w:rPr>
              <w:t xml:space="preserve"> </w:t>
            </w:r>
            <w:r w:rsidRPr="00A9326A">
              <w:rPr>
                <w:rFonts w:eastAsia="Times New Roman" w:cs="Times New Roman"/>
                <w:sz w:val="20"/>
                <w:szCs w:val="20"/>
              </w:rPr>
              <w:t xml:space="preserve">terms of the program </w:t>
            </w:r>
            <w:r w:rsidR="00042879">
              <w:rPr>
                <w:rFonts w:eastAsia="Times New Roman" w:cs="Times New Roman"/>
                <w:sz w:val="20"/>
                <w:szCs w:val="20"/>
              </w:rPr>
              <w:t>could</w:t>
            </w:r>
            <w:r w:rsidRPr="00A9326A">
              <w:rPr>
                <w:rFonts w:eastAsia="Times New Roman" w:cs="Times New Roman"/>
                <w:sz w:val="20"/>
                <w:szCs w:val="20"/>
              </w:rPr>
              <w:t xml:space="preserve"> change at any time.  </w:t>
            </w:r>
          </w:p>
          <w:p w:rsidR="00887F48" w:rsidRPr="00A9326A" w:rsidRDefault="00887F48" w:rsidP="00042879">
            <w:pPr>
              <w:pStyle w:val="ListParagraph"/>
              <w:ind w:left="0"/>
              <w:rPr>
                <w:rFonts w:eastAsia="Times New Roman" w:cs="Times New Roman"/>
                <w:sz w:val="20"/>
                <w:szCs w:val="20"/>
              </w:rPr>
            </w:pPr>
          </w:p>
        </w:tc>
      </w:tr>
      <w:tr w:rsidR="00E07EAF" w:rsidTr="00042879">
        <w:tc>
          <w:tcPr>
            <w:tcW w:w="2340" w:type="dxa"/>
          </w:tcPr>
          <w:p w:rsidR="0096560C" w:rsidRPr="00573528" w:rsidRDefault="0096560C" w:rsidP="00C90234">
            <w:pPr>
              <w:pStyle w:val="ListParagraph"/>
              <w:ind w:left="0"/>
              <w:rPr>
                <w:rFonts w:eastAsia="Times New Roman" w:cs="Times New Roman"/>
                <w:b/>
                <w:sz w:val="20"/>
                <w:szCs w:val="20"/>
              </w:rPr>
            </w:pPr>
          </w:p>
          <w:p w:rsidR="00E07EAF" w:rsidRPr="00573528" w:rsidRDefault="00993A19" w:rsidP="00C90234">
            <w:pPr>
              <w:pStyle w:val="ListParagraph"/>
              <w:ind w:left="0"/>
              <w:rPr>
                <w:rFonts w:eastAsia="Times New Roman" w:cs="Times New Roman"/>
                <w:b/>
                <w:sz w:val="20"/>
                <w:szCs w:val="20"/>
              </w:rPr>
            </w:pPr>
            <w:r w:rsidRPr="00573528">
              <w:rPr>
                <w:rFonts w:eastAsia="Times New Roman" w:cs="Times New Roman"/>
                <w:b/>
                <w:sz w:val="20"/>
                <w:szCs w:val="20"/>
              </w:rPr>
              <w:t>Payments Required</w:t>
            </w:r>
          </w:p>
        </w:tc>
        <w:tc>
          <w:tcPr>
            <w:tcW w:w="7218" w:type="dxa"/>
          </w:tcPr>
          <w:p w:rsidR="0096560C" w:rsidRDefault="0096560C" w:rsidP="00606FCA">
            <w:pPr>
              <w:pStyle w:val="ListParagraph"/>
              <w:ind w:left="0"/>
              <w:rPr>
                <w:rFonts w:cs="Times New Roman"/>
                <w:color w:val="000000"/>
                <w:sz w:val="20"/>
                <w:szCs w:val="20"/>
              </w:rPr>
            </w:pPr>
          </w:p>
          <w:p w:rsidR="00E07EAF" w:rsidRPr="00A9326A" w:rsidRDefault="00F51763" w:rsidP="0096560C">
            <w:pPr>
              <w:pStyle w:val="ListParagraph"/>
              <w:ind w:left="0"/>
              <w:jc w:val="both"/>
              <w:rPr>
                <w:rFonts w:cs="Times New Roman"/>
                <w:color w:val="000000"/>
                <w:sz w:val="20"/>
                <w:szCs w:val="20"/>
              </w:rPr>
            </w:pPr>
            <w:r w:rsidRPr="00A9326A">
              <w:rPr>
                <w:rFonts w:cs="Times New Roman"/>
                <w:color w:val="000000"/>
                <w:sz w:val="20"/>
                <w:szCs w:val="20"/>
              </w:rPr>
              <w:t xml:space="preserve">1. Undisclosed Foreign Asset Penalty of 27.5% (or 5% or 12.5%, if certain requirements are met); payment due on completion of OVDP certification and not required with original submission.  </w:t>
            </w:r>
          </w:p>
          <w:p w:rsidR="00F51763" w:rsidRPr="00A9326A" w:rsidRDefault="00F51763" w:rsidP="0096560C">
            <w:pPr>
              <w:pStyle w:val="ListParagraph"/>
              <w:ind w:left="0"/>
              <w:jc w:val="both"/>
              <w:rPr>
                <w:rFonts w:cs="Times New Roman"/>
                <w:color w:val="000000"/>
                <w:sz w:val="20"/>
                <w:szCs w:val="20"/>
              </w:rPr>
            </w:pPr>
          </w:p>
          <w:p w:rsidR="00F51763" w:rsidRPr="00A9326A" w:rsidRDefault="00F51763" w:rsidP="0096560C">
            <w:pPr>
              <w:pStyle w:val="ListParagraph"/>
              <w:ind w:left="0"/>
              <w:jc w:val="both"/>
              <w:rPr>
                <w:rFonts w:cs="Times New Roman"/>
                <w:color w:val="000000"/>
                <w:sz w:val="20"/>
                <w:szCs w:val="20"/>
              </w:rPr>
            </w:pPr>
            <w:r w:rsidRPr="00A9326A">
              <w:rPr>
                <w:rFonts w:cs="Times New Roman"/>
                <w:color w:val="000000"/>
                <w:sz w:val="20"/>
                <w:szCs w:val="20"/>
              </w:rPr>
              <w:t>2. 20% accuracy-related penalty under IRC § 6662(a) on the full amount of offshore-related underpayments.</w:t>
            </w:r>
          </w:p>
          <w:p w:rsidR="00F51763" w:rsidRPr="00A9326A" w:rsidRDefault="00F51763" w:rsidP="0096560C">
            <w:pPr>
              <w:pStyle w:val="ListParagraph"/>
              <w:ind w:left="0"/>
              <w:jc w:val="both"/>
              <w:rPr>
                <w:rFonts w:cs="Times New Roman"/>
                <w:color w:val="000000"/>
                <w:sz w:val="20"/>
                <w:szCs w:val="20"/>
              </w:rPr>
            </w:pPr>
          </w:p>
          <w:p w:rsidR="00F51763" w:rsidRPr="00A9326A" w:rsidRDefault="0096560C" w:rsidP="0096560C">
            <w:pPr>
              <w:jc w:val="both"/>
              <w:rPr>
                <w:rFonts w:cs="Times New Roman"/>
                <w:color w:val="000000"/>
                <w:sz w:val="20"/>
                <w:szCs w:val="20"/>
              </w:rPr>
            </w:pPr>
            <w:r>
              <w:rPr>
                <w:rFonts w:cs="Times New Roman"/>
                <w:color w:val="000000"/>
                <w:sz w:val="20"/>
                <w:szCs w:val="20"/>
              </w:rPr>
              <w:t xml:space="preserve">3. Any failure to file </w:t>
            </w:r>
            <w:r w:rsidR="00F51763" w:rsidRPr="00A9326A">
              <w:rPr>
                <w:rFonts w:cs="Times New Roman"/>
                <w:color w:val="000000"/>
                <w:sz w:val="20"/>
                <w:szCs w:val="20"/>
              </w:rPr>
              <w:t>or pay penalties that apply under 6651(a)(1) and/or (2).</w:t>
            </w:r>
          </w:p>
          <w:p w:rsidR="00F51763" w:rsidRPr="00A9326A" w:rsidRDefault="00F51763" w:rsidP="0096560C">
            <w:pPr>
              <w:jc w:val="both"/>
              <w:rPr>
                <w:rFonts w:cs="Times New Roman"/>
                <w:color w:val="000000"/>
                <w:sz w:val="20"/>
                <w:szCs w:val="20"/>
              </w:rPr>
            </w:pPr>
          </w:p>
          <w:p w:rsidR="00F51763" w:rsidRPr="00A9326A" w:rsidRDefault="00F51763" w:rsidP="0096560C">
            <w:pPr>
              <w:jc w:val="both"/>
              <w:rPr>
                <w:rFonts w:cs="Times New Roman"/>
                <w:color w:val="000000"/>
                <w:sz w:val="20"/>
                <w:szCs w:val="20"/>
              </w:rPr>
            </w:pPr>
            <w:r w:rsidRPr="00A9326A">
              <w:rPr>
                <w:rFonts w:cs="Times New Roman"/>
                <w:color w:val="000000"/>
                <w:sz w:val="20"/>
                <w:szCs w:val="20"/>
              </w:rPr>
              <w:t>4. Interest (</w:t>
            </w:r>
            <w:r w:rsidR="00042879">
              <w:rPr>
                <w:rFonts w:cs="Times New Roman"/>
                <w:color w:val="000000"/>
                <w:sz w:val="20"/>
                <w:szCs w:val="20"/>
              </w:rPr>
              <w:t>excluding</w:t>
            </w:r>
            <w:r w:rsidRPr="00A9326A">
              <w:rPr>
                <w:rFonts w:cs="Times New Roman"/>
                <w:color w:val="000000"/>
                <w:sz w:val="20"/>
                <w:szCs w:val="20"/>
              </w:rPr>
              <w:t xml:space="preserve"> undisclosed foreign asset penalty)</w:t>
            </w:r>
          </w:p>
          <w:p w:rsidR="006F5E4E" w:rsidRPr="00A9326A" w:rsidRDefault="006F5E4E" w:rsidP="006F5E4E">
            <w:pPr>
              <w:rPr>
                <w:rFonts w:cs="Times New Roman"/>
                <w:color w:val="000000"/>
                <w:sz w:val="20"/>
                <w:szCs w:val="20"/>
              </w:rPr>
            </w:pPr>
          </w:p>
        </w:tc>
      </w:tr>
      <w:tr w:rsidR="00EC6327" w:rsidTr="00042879">
        <w:tc>
          <w:tcPr>
            <w:tcW w:w="2340" w:type="dxa"/>
          </w:tcPr>
          <w:p w:rsidR="00EC6327" w:rsidRPr="00573528" w:rsidRDefault="00EC6327" w:rsidP="00C90234">
            <w:pPr>
              <w:pStyle w:val="ListParagraph"/>
              <w:ind w:left="0"/>
              <w:rPr>
                <w:rFonts w:eastAsia="Times New Roman" w:cs="Times New Roman"/>
                <w:b/>
                <w:sz w:val="20"/>
                <w:szCs w:val="20"/>
              </w:rPr>
            </w:pPr>
          </w:p>
          <w:p w:rsidR="00993A19" w:rsidRPr="00573528" w:rsidRDefault="00993A19" w:rsidP="00C90234">
            <w:pPr>
              <w:pStyle w:val="ListParagraph"/>
              <w:ind w:left="0"/>
              <w:rPr>
                <w:rFonts w:eastAsia="Times New Roman" w:cs="Times New Roman"/>
                <w:b/>
                <w:sz w:val="20"/>
                <w:szCs w:val="20"/>
              </w:rPr>
            </w:pPr>
            <w:r w:rsidRPr="00573528">
              <w:rPr>
                <w:rFonts w:eastAsia="Times New Roman" w:cs="Times New Roman"/>
                <w:b/>
                <w:sz w:val="20"/>
                <w:szCs w:val="20"/>
              </w:rPr>
              <w:t>Penalty</w:t>
            </w:r>
            <w:r w:rsidR="00573528">
              <w:rPr>
                <w:rFonts w:eastAsia="Times New Roman" w:cs="Times New Roman"/>
                <w:b/>
                <w:sz w:val="20"/>
                <w:szCs w:val="20"/>
              </w:rPr>
              <w:t xml:space="preserve"> Computation</w:t>
            </w:r>
          </w:p>
        </w:tc>
        <w:tc>
          <w:tcPr>
            <w:tcW w:w="7218" w:type="dxa"/>
          </w:tcPr>
          <w:p w:rsidR="0096560C" w:rsidRDefault="0096560C" w:rsidP="00606FCA">
            <w:pPr>
              <w:pStyle w:val="ListParagraph"/>
              <w:ind w:left="0"/>
              <w:rPr>
                <w:rFonts w:cs="Times New Roman"/>
                <w:color w:val="000000"/>
                <w:sz w:val="20"/>
                <w:szCs w:val="20"/>
              </w:rPr>
            </w:pPr>
          </w:p>
          <w:p w:rsidR="0096560C" w:rsidRDefault="00EC6327" w:rsidP="0096560C">
            <w:pPr>
              <w:pStyle w:val="ListParagraph"/>
              <w:ind w:left="0"/>
              <w:jc w:val="both"/>
              <w:rPr>
                <w:rFonts w:cs="Times New Roman"/>
                <w:color w:val="000000"/>
                <w:sz w:val="20"/>
                <w:szCs w:val="20"/>
              </w:rPr>
            </w:pPr>
            <w:r w:rsidRPr="00A9326A">
              <w:rPr>
                <w:rFonts w:cs="Times New Roman"/>
                <w:color w:val="000000"/>
                <w:sz w:val="20"/>
                <w:szCs w:val="20"/>
              </w:rPr>
              <w:t xml:space="preserve">27.5% of highest account balance during last eight years.  Special 12.5% rate for taxpayers </w:t>
            </w:r>
            <w:r w:rsidR="006F5E4E" w:rsidRPr="00A9326A">
              <w:rPr>
                <w:rFonts w:cs="Times New Roman"/>
                <w:color w:val="000000"/>
                <w:sz w:val="20"/>
                <w:szCs w:val="20"/>
              </w:rPr>
              <w:t xml:space="preserve">whose highest account balance was less than </w:t>
            </w:r>
            <w:r w:rsidRPr="00A9326A">
              <w:rPr>
                <w:rFonts w:cs="Times New Roman"/>
                <w:color w:val="000000"/>
                <w:sz w:val="20"/>
                <w:szCs w:val="20"/>
              </w:rPr>
              <w:t>$75,000.  Also, special 5% rate applies if taxpayer:</w:t>
            </w:r>
          </w:p>
          <w:p w:rsidR="0096560C" w:rsidRDefault="0096560C" w:rsidP="0096560C">
            <w:pPr>
              <w:pStyle w:val="ListParagraph"/>
              <w:ind w:left="0"/>
              <w:jc w:val="both"/>
              <w:rPr>
                <w:rFonts w:cs="Times New Roman"/>
                <w:color w:val="000000"/>
                <w:sz w:val="20"/>
                <w:szCs w:val="20"/>
              </w:rPr>
            </w:pPr>
          </w:p>
          <w:p w:rsidR="0096560C" w:rsidRDefault="0096560C" w:rsidP="0096560C">
            <w:pPr>
              <w:pStyle w:val="ListParagraph"/>
              <w:ind w:left="0"/>
              <w:jc w:val="both"/>
              <w:rPr>
                <w:rFonts w:cs="Times New Roman"/>
                <w:color w:val="000000"/>
                <w:sz w:val="20"/>
                <w:szCs w:val="20"/>
              </w:rPr>
            </w:pPr>
            <w:r>
              <w:rPr>
                <w:rFonts w:cs="Times New Roman"/>
                <w:color w:val="000000"/>
                <w:sz w:val="20"/>
                <w:szCs w:val="20"/>
              </w:rPr>
              <w:t>1.</w:t>
            </w:r>
            <w:r w:rsidR="00EC6327" w:rsidRPr="00A9326A">
              <w:rPr>
                <w:rFonts w:cs="Times New Roman"/>
                <w:color w:val="000000"/>
                <w:sz w:val="20"/>
                <w:szCs w:val="20"/>
              </w:rPr>
              <w:t xml:space="preserve"> Did not open or cause the account to be opened (unless the bank required that a new account be opened, rather than allowing a change in ownership of an existing account, upon the death of the owner of the account); </w:t>
            </w:r>
          </w:p>
          <w:p w:rsidR="0096560C" w:rsidRDefault="0096560C" w:rsidP="0096560C">
            <w:pPr>
              <w:pStyle w:val="ListParagraph"/>
              <w:ind w:left="0"/>
              <w:jc w:val="both"/>
              <w:rPr>
                <w:rFonts w:cs="Times New Roman"/>
                <w:color w:val="000000"/>
                <w:sz w:val="20"/>
                <w:szCs w:val="20"/>
              </w:rPr>
            </w:pPr>
          </w:p>
          <w:p w:rsidR="0096560C" w:rsidRDefault="0096560C" w:rsidP="0096560C">
            <w:pPr>
              <w:pStyle w:val="ListParagraph"/>
              <w:ind w:left="0"/>
              <w:jc w:val="both"/>
              <w:rPr>
                <w:rFonts w:cs="Times New Roman"/>
                <w:color w:val="000000"/>
                <w:sz w:val="20"/>
                <w:szCs w:val="20"/>
              </w:rPr>
            </w:pPr>
            <w:r>
              <w:rPr>
                <w:rFonts w:cs="Times New Roman"/>
                <w:color w:val="000000"/>
                <w:sz w:val="20"/>
                <w:szCs w:val="20"/>
              </w:rPr>
              <w:t xml:space="preserve">2. </w:t>
            </w:r>
            <w:r w:rsidR="00EC6327" w:rsidRPr="00A9326A">
              <w:rPr>
                <w:rFonts w:cs="Times New Roman"/>
                <w:color w:val="000000"/>
                <w:sz w:val="20"/>
                <w:szCs w:val="20"/>
              </w:rPr>
              <w:t xml:space="preserve">Exercised minimal, infrequent contact with the account, for example, to request the account balance, or update accountholder information such as a change in address, contact person, or email address; </w:t>
            </w:r>
          </w:p>
          <w:p w:rsidR="0096560C" w:rsidRDefault="0096560C" w:rsidP="0096560C">
            <w:pPr>
              <w:pStyle w:val="ListParagraph"/>
              <w:ind w:left="0"/>
              <w:jc w:val="both"/>
              <w:rPr>
                <w:rFonts w:cs="Times New Roman"/>
                <w:color w:val="000000"/>
                <w:sz w:val="20"/>
                <w:szCs w:val="20"/>
              </w:rPr>
            </w:pPr>
          </w:p>
          <w:p w:rsidR="0096560C" w:rsidRDefault="0096560C" w:rsidP="0096560C">
            <w:pPr>
              <w:pStyle w:val="ListParagraph"/>
              <w:ind w:left="0"/>
              <w:jc w:val="both"/>
              <w:rPr>
                <w:rFonts w:cs="Times New Roman"/>
                <w:color w:val="000000"/>
                <w:sz w:val="20"/>
                <w:szCs w:val="20"/>
              </w:rPr>
            </w:pPr>
            <w:r>
              <w:rPr>
                <w:rFonts w:cs="Times New Roman"/>
                <w:color w:val="000000"/>
                <w:sz w:val="20"/>
                <w:szCs w:val="20"/>
              </w:rPr>
              <w:t xml:space="preserve">3. </w:t>
            </w:r>
            <w:r w:rsidR="00EC6327" w:rsidRPr="00A9326A">
              <w:rPr>
                <w:rFonts w:cs="Times New Roman"/>
                <w:color w:val="000000"/>
                <w:sz w:val="20"/>
                <w:szCs w:val="20"/>
              </w:rPr>
              <w:t xml:space="preserve">Except for a withdrawal closing the account and transferring the funds to an account in the United States, did not withdraw more than $1,000 from the account in any year for which the taxpayer was non-compliant; and </w:t>
            </w:r>
          </w:p>
          <w:p w:rsidR="0096560C" w:rsidRDefault="0096560C" w:rsidP="0096560C">
            <w:pPr>
              <w:pStyle w:val="ListParagraph"/>
              <w:ind w:left="0"/>
              <w:jc w:val="both"/>
              <w:rPr>
                <w:rFonts w:cs="Times New Roman"/>
                <w:color w:val="000000"/>
                <w:sz w:val="20"/>
                <w:szCs w:val="20"/>
              </w:rPr>
            </w:pPr>
          </w:p>
          <w:p w:rsidR="00EC6327" w:rsidRPr="00A9326A" w:rsidRDefault="0096560C" w:rsidP="0096560C">
            <w:pPr>
              <w:pStyle w:val="ListParagraph"/>
              <w:ind w:left="0"/>
              <w:jc w:val="both"/>
              <w:rPr>
                <w:rFonts w:cs="Times New Roman"/>
                <w:color w:val="000000"/>
                <w:sz w:val="20"/>
                <w:szCs w:val="20"/>
              </w:rPr>
            </w:pPr>
            <w:r>
              <w:rPr>
                <w:rFonts w:cs="Times New Roman"/>
                <w:color w:val="000000"/>
                <w:sz w:val="20"/>
                <w:szCs w:val="20"/>
              </w:rPr>
              <w:t xml:space="preserve">4. </w:t>
            </w:r>
            <w:r w:rsidR="00EC6327" w:rsidRPr="00A9326A">
              <w:rPr>
                <w:rFonts w:cs="Times New Roman"/>
                <w:color w:val="000000"/>
                <w:sz w:val="20"/>
                <w:szCs w:val="20"/>
              </w:rPr>
              <w:t>Can establish that all applicable U.S. taxes have been paid on funds deposited to the account (only account earnings have escaped U.S. taxation).</w:t>
            </w:r>
          </w:p>
          <w:p w:rsidR="00DD3768" w:rsidRPr="00A9326A" w:rsidRDefault="00DD3768" w:rsidP="0096560C">
            <w:pPr>
              <w:pStyle w:val="ListParagraph"/>
              <w:ind w:left="0"/>
              <w:jc w:val="both"/>
              <w:rPr>
                <w:rFonts w:cs="Times New Roman"/>
                <w:color w:val="000000"/>
                <w:sz w:val="20"/>
                <w:szCs w:val="20"/>
              </w:rPr>
            </w:pPr>
          </w:p>
          <w:p w:rsidR="00DD3768" w:rsidRDefault="00DD3768" w:rsidP="0096560C">
            <w:pPr>
              <w:pStyle w:val="ListParagraph"/>
              <w:ind w:left="0"/>
              <w:jc w:val="both"/>
              <w:rPr>
                <w:rFonts w:cs="Times New Roman"/>
                <w:color w:val="000000"/>
                <w:sz w:val="20"/>
                <w:szCs w:val="20"/>
              </w:rPr>
            </w:pPr>
            <w:r w:rsidRPr="00A9326A">
              <w:rPr>
                <w:rFonts w:cs="Times New Roman"/>
                <w:color w:val="000000"/>
                <w:sz w:val="20"/>
                <w:szCs w:val="20"/>
              </w:rPr>
              <w:t>Special 5% rate also applies to taxpayers who are foreign residents and who were unaware they were U.S. citizens.</w:t>
            </w:r>
          </w:p>
          <w:p w:rsidR="00993A19" w:rsidRDefault="00993A19" w:rsidP="0096560C">
            <w:pPr>
              <w:pStyle w:val="ListParagraph"/>
              <w:ind w:left="0"/>
              <w:jc w:val="both"/>
              <w:rPr>
                <w:rFonts w:cs="Times New Roman"/>
                <w:color w:val="000000"/>
                <w:sz w:val="20"/>
                <w:szCs w:val="20"/>
              </w:rPr>
            </w:pPr>
          </w:p>
          <w:p w:rsidR="00993A19" w:rsidRPr="00A9326A" w:rsidRDefault="00993A19" w:rsidP="0096560C">
            <w:pPr>
              <w:pStyle w:val="ListParagraph"/>
              <w:ind w:left="0"/>
              <w:jc w:val="both"/>
              <w:rPr>
                <w:rFonts w:cs="Times New Roman"/>
                <w:color w:val="000000"/>
                <w:sz w:val="20"/>
                <w:szCs w:val="20"/>
              </w:rPr>
            </w:pPr>
            <w:r>
              <w:rPr>
                <w:rFonts w:cs="Times New Roman"/>
                <w:color w:val="000000"/>
                <w:sz w:val="20"/>
                <w:szCs w:val="20"/>
              </w:rPr>
              <w:t>Taxpayer can also "opt-out" of penalty regime and attempt to pay less than standard penalty rate.</w:t>
            </w:r>
          </w:p>
          <w:p w:rsidR="006F5E4E" w:rsidRPr="00A9326A" w:rsidRDefault="006F5E4E" w:rsidP="00EC6327">
            <w:pPr>
              <w:pStyle w:val="ListParagraph"/>
              <w:ind w:left="0"/>
              <w:rPr>
                <w:rFonts w:cs="Times New Roman"/>
                <w:color w:val="000000"/>
                <w:sz w:val="20"/>
                <w:szCs w:val="20"/>
              </w:rPr>
            </w:pPr>
          </w:p>
        </w:tc>
      </w:tr>
      <w:tr w:rsidR="00E07EAF" w:rsidTr="00042879">
        <w:tc>
          <w:tcPr>
            <w:tcW w:w="2340" w:type="dxa"/>
          </w:tcPr>
          <w:p w:rsidR="0096560C" w:rsidRPr="00573528" w:rsidRDefault="0096560C" w:rsidP="00C90234">
            <w:pPr>
              <w:pStyle w:val="ListParagraph"/>
              <w:ind w:left="0"/>
              <w:rPr>
                <w:rFonts w:eastAsia="Times New Roman" w:cs="Times New Roman"/>
                <w:b/>
                <w:sz w:val="20"/>
                <w:szCs w:val="20"/>
              </w:rPr>
            </w:pPr>
          </w:p>
          <w:p w:rsidR="00E07EAF" w:rsidRPr="00573528" w:rsidRDefault="00993A19" w:rsidP="00C90234">
            <w:pPr>
              <w:pStyle w:val="ListParagraph"/>
              <w:ind w:left="0"/>
              <w:rPr>
                <w:rFonts w:eastAsia="Times New Roman" w:cs="Times New Roman"/>
                <w:b/>
                <w:sz w:val="20"/>
                <w:szCs w:val="20"/>
              </w:rPr>
            </w:pPr>
            <w:r w:rsidRPr="00573528">
              <w:rPr>
                <w:rFonts w:eastAsia="Times New Roman" w:cs="Times New Roman"/>
                <w:b/>
                <w:sz w:val="20"/>
                <w:szCs w:val="20"/>
              </w:rPr>
              <w:t>Documents</w:t>
            </w:r>
          </w:p>
        </w:tc>
        <w:tc>
          <w:tcPr>
            <w:tcW w:w="7218" w:type="dxa"/>
          </w:tcPr>
          <w:p w:rsidR="0096560C" w:rsidRDefault="0096560C" w:rsidP="00606FCA">
            <w:pPr>
              <w:pStyle w:val="ListParagraph"/>
              <w:ind w:left="0"/>
              <w:rPr>
                <w:rFonts w:cs="Times New Roman"/>
                <w:color w:val="000000"/>
                <w:sz w:val="20"/>
                <w:szCs w:val="20"/>
              </w:rPr>
            </w:pPr>
          </w:p>
          <w:p w:rsidR="00E07EAF" w:rsidRPr="00A9326A" w:rsidRDefault="00E07EAF" w:rsidP="00606FCA">
            <w:pPr>
              <w:pStyle w:val="ListParagraph"/>
              <w:ind w:left="0"/>
              <w:rPr>
                <w:rFonts w:cs="Times New Roman"/>
                <w:color w:val="000000"/>
                <w:sz w:val="20"/>
                <w:szCs w:val="20"/>
              </w:rPr>
            </w:pPr>
            <w:r w:rsidRPr="00A9326A">
              <w:rPr>
                <w:rFonts w:cs="Times New Roman"/>
                <w:color w:val="000000"/>
                <w:sz w:val="20"/>
                <w:szCs w:val="20"/>
              </w:rPr>
              <w:t>1. Amended income tax returns</w:t>
            </w:r>
            <w:r w:rsidR="00BC7F22" w:rsidRPr="00A9326A">
              <w:rPr>
                <w:rFonts w:cs="Times New Roman"/>
                <w:color w:val="000000"/>
                <w:sz w:val="20"/>
                <w:szCs w:val="20"/>
              </w:rPr>
              <w:t xml:space="preserve"> for 8 years</w:t>
            </w:r>
          </w:p>
          <w:p w:rsidR="006F5E4E" w:rsidRPr="00A9326A" w:rsidRDefault="006F5E4E" w:rsidP="00606FCA">
            <w:pPr>
              <w:pStyle w:val="ListParagraph"/>
              <w:ind w:left="0"/>
              <w:rPr>
                <w:rFonts w:cs="Times New Roman"/>
                <w:color w:val="000000"/>
                <w:sz w:val="20"/>
                <w:szCs w:val="20"/>
              </w:rPr>
            </w:pPr>
          </w:p>
          <w:p w:rsidR="00E07EAF" w:rsidRPr="00A9326A" w:rsidRDefault="00E07EAF" w:rsidP="00606FCA">
            <w:pPr>
              <w:pStyle w:val="ListParagraph"/>
              <w:ind w:left="0"/>
              <w:rPr>
                <w:rFonts w:cs="Times New Roman"/>
                <w:color w:val="000000"/>
                <w:sz w:val="20"/>
                <w:szCs w:val="20"/>
              </w:rPr>
            </w:pPr>
            <w:r w:rsidRPr="00A9326A">
              <w:rPr>
                <w:rFonts w:cs="Times New Roman"/>
                <w:color w:val="000000"/>
                <w:sz w:val="20"/>
                <w:szCs w:val="20"/>
              </w:rPr>
              <w:lastRenderedPageBreak/>
              <w:t>2. Late or amended FBARs</w:t>
            </w:r>
            <w:r w:rsidR="00BC7F22" w:rsidRPr="00A9326A">
              <w:rPr>
                <w:rFonts w:cs="Times New Roman"/>
                <w:color w:val="000000"/>
                <w:sz w:val="20"/>
                <w:szCs w:val="20"/>
              </w:rPr>
              <w:t xml:space="preserve"> for 8 years</w:t>
            </w:r>
          </w:p>
          <w:p w:rsidR="006F5E4E" w:rsidRPr="00A9326A" w:rsidRDefault="006F5E4E" w:rsidP="00606FCA">
            <w:pPr>
              <w:pStyle w:val="ListParagraph"/>
              <w:ind w:left="0"/>
              <w:rPr>
                <w:rFonts w:cs="Times New Roman"/>
                <w:color w:val="000000"/>
                <w:sz w:val="20"/>
                <w:szCs w:val="20"/>
              </w:rPr>
            </w:pPr>
          </w:p>
          <w:p w:rsidR="00E07EAF" w:rsidRPr="00A9326A" w:rsidRDefault="00E07EAF" w:rsidP="00606FCA">
            <w:pPr>
              <w:pStyle w:val="ListParagraph"/>
              <w:ind w:left="0"/>
              <w:rPr>
                <w:rFonts w:cs="Times New Roman"/>
                <w:color w:val="000000"/>
                <w:sz w:val="20"/>
                <w:szCs w:val="20"/>
              </w:rPr>
            </w:pPr>
            <w:r w:rsidRPr="00A9326A">
              <w:rPr>
                <w:rFonts w:cs="Times New Roman"/>
                <w:color w:val="000000"/>
                <w:sz w:val="20"/>
                <w:szCs w:val="20"/>
              </w:rPr>
              <w:t>3. Extensions of statute of limitations for income</w:t>
            </w:r>
            <w:r w:rsidR="00042879">
              <w:rPr>
                <w:rFonts w:cs="Times New Roman"/>
                <w:color w:val="000000"/>
                <w:sz w:val="20"/>
                <w:szCs w:val="20"/>
              </w:rPr>
              <w:t xml:space="preserve"> and FBAR matters</w:t>
            </w:r>
          </w:p>
          <w:p w:rsidR="006F5E4E" w:rsidRPr="00A9326A" w:rsidRDefault="006F5E4E" w:rsidP="00606FCA">
            <w:pPr>
              <w:pStyle w:val="ListParagraph"/>
              <w:ind w:left="0"/>
              <w:rPr>
                <w:rFonts w:cs="Times New Roman"/>
                <w:color w:val="000000"/>
                <w:sz w:val="20"/>
                <w:szCs w:val="20"/>
              </w:rPr>
            </w:pPr>
          </w:p>
          <w:p w:rsidR="00E07EAF" w:rsidRPr="00A9326A" w:rsidRDefault="00E07EAF" w:rsidP="00606FCA">
            <w:pPr>
              <w:pStyle w:val="ListParagraph"/>
              <w:ind w:left="0"/>
              <w:rPr>
                <w:rFonts w:cs="Times New Roman"/>
                <w:color w:val="000000"/>
                <w:sz w:val="20"/>
                <w:szCs w:val="20"/>
              </w:rPr>
            </w:pPr>
            <w:r w:rsidRPr="00A9326A">
              <w:rPr>
                <w:rFonts w:cs="Times New Roman"/>
                <w:color w:val="000000"/>
                <w:sz w:val="20"/>
                <w:szCs w:val="20"/>
              </w:rPr>
              <w:t>4. Foreign Account/Asset Statements</w:t>
            </w:r>
          </w:p>
          <w:p w:rsidR="006F5E4E" w:rsidRPr="00A9326A" w:rsidRDefault="006F5E4E" w:rsidP="00606FCA">
            <w:pPr>
              <w:pStyle w:val="ListParagraph"/>
              <w:ind w:left="0"/>
              <w:rPr>
                <w:rFonts w:cs="Times New Roman"/>
                <w:color w:val="000000"/>
                <w:sz w:val="20"/>
                <w:szCs w:val="20"/>
              </w:rPr>
            </w:pPr>
          </w:p>
          <w:p w:rsidR="00E07EAF" w:rsidRPr="00A9326A" w:rsidRDefault="00E07EAF" w:rsidP="00606FCA">
            <w:pPr>
              <w:pStyle w:val="ListParagraph"/>
              <w:ind w:left="0"/>
              <w:rPr>
                <w:rFonts w:cs="Times New Roman"/>
                <w:color w:val="000000"/>
                <w:sz w:val="20"/>
                <w:szCs w:val="20"/>
              </w:rPr>
            </w:pPr>
            <w:r w:rsidRPr="00A9326A">
              <w:rPr>
                <w:rFonts w:cs="Times New Roman"/>
                <w:color w:val="000000"/>
                <w:sz w:val="20"/>
                <w:szCs w:val="20"/>
              </w:rPr>
              <w:t>5. Offshore Voluntary Disclosure Letter</w:t>
            </w:r>
          </w:p>
          <w:p w:rsidR="006F5E4E" w:rsidRPr="00A9326A" w:rsidRDefault="006F5E4E" w:rsidP="00606FCA">
            <w:pPr>
              <w:pStyle w:val="ListParagraph"/>
              <w:ind w:left="0"/>
              <w:rPr>
                <w:rFonts w:cs="Times New Roman"/>
                <w:color w:val="000000"/>
                <w:sz w:val="20"/>
                <w:szCs w:val="20"/>
              </w:rPr>
            </w:pPr>
          </w:p>
          <w:p w:rsidR="00E07EAF" w:rsidRPr="00A9326A" w:rsidRDefault="00E07EAF" w:rsidP="00606FCA">
            <w:pPr>
              <w:pStyle w:val="ListParagraph"/>
              <w:ind w:left="0"/>
              <w:rPr>
                <w:rFonts w:cs="Times New Roman"/>
                <w:color w:val="000000"/>
                <w:sz w:val="20"/>
                <w:szCs w:val="20"/>
              </w:rPr>
            </w:pPr>
            <w:r w:rsidRPr="00A9326A">
              <w:rPr>
                <w:rFonts w:cs="Times New Roman"/>
                <w:color w:val="000000"/>
                <w:sz w:val="20"/>
                <w:szCs w:val="20"/>
              </w:rPr>
              <w:t>6. Penalty Computation Worksheet</w:t>
            </w:r>
          </w:p>
          <w:p w:rsidR="006F5E4E" w:rsidRPr="00A9326A" w:rsidRDefault="006F5E4E" w:rsidP="00606FCA">
            <w:pPr>
              <w:pStyle w:val="ListParagraph"/>
              <w:ind w:left="0"/>
              <w:rPr>
                <w:rFonts w:cs="Times New Roman"/>
                <w:color w:val="000000"/>
                <w:sz w:val="20"/>
                <w:szCs w:val="20"/>
              </w:rPr>
            </w:pPr>
          </w:p>
          <w:p w:rsidR="00F51763" w:rsidRPr="00A9326A" w:rsidRDefault="00F51763" w:rsidP="00606FCA">
            <w:pPr>
              <w:pStyle w:val="ListParagraph"/>
              <w:ind w:left="0"/>
              <w:rPr>
                <w:rFonts w:cs="Times New Roman"/>
                <w:color w:val="000000"/>
                <w:sz w:val="20"/>
                <w:szCs w:val="20"/>
              </w:rPr>
            </w:pPr>
            <w:r w:rsidRPr="00A9326A">
              <w:rPr>
                <w:rFonts w:cs="Times New Roman"/>
                <w:color w:val="000000"/>
                <w:sz w:val="20"/>
                <w:szCs w:val="20"/>
              </w:rPr>
              <w:t>7. Closing Agreement (after certification)</w:t>
            </w:r>
          </w:p>
          <w:p w:rsidR="006F5E4E" w:rsidRPr="00A9326A" w:rsidRDefault="006F5E4E" w:rsidP="00606FCA">
            <w:pPr>
              <w:pStyle w:val="ListParagraph"/>
              <w:ind w:left="0"/>
              <w:rPr>
                <w:rFonts w:cs="Times New Roman"/>
                <w:color w:val="000000"/>
                <w:sz w:val="20"/>
                <w:szCs w:val="20"/>
              </w:rPr>
            </w:pPr>
          </w:p>
        </w:tc>
      </w:tr>
      <w:tr w:rsidR="00606FCA" w:rsidTr="00042879">
        <w:tc>
          <w:tcPr>
            <w:tcW w:w="2340" w:type="dxa"/>
          </w:tcPr>
          <w:p w:rsidR="00993A19" w:rsidRPr="00573528" w:rsidRDefault="00993A19" w:rsidP="00606FCA">
            <w:pPr>
              <w:rPr>
                <w:rFonts w:eastAsia="Times New Roman" w:cs="Times New Roman"/>
                <w:b/>
                <w:sz w:val="20"/>
                <w:szCs w:val="20"/>
              </w:rPr>
            </w:pPr>
          </w:p>
          <w:p w:rsidR="00C90234" w:rsidRPr="00573528" w:rsidRDefault="00726972" w:rsidP="00606FCA">
            <w:pPr>
              <w:rPr>
                <w:rFonts w:eastAsia="Times New Roman" w:cs="Times New Roman"/>
                <w:b/>
                <w:sz w:val="20"/>
                <w:szCs w:val="20"/>
              </w:rPr>
            </w:pPr>
            <w:r w:rsidRPr="00573528">
              <w:rPr>
                <w:rFonts w:eastAsia="Times New Roman" w:cs="Times New Roman"/>
                <w:b/>
                <w:sz w:val="20"/>
                <w:szCs w:val="20"/>
              </w:rPr>
              <w:t xml:space="preserve">Civil </w:t>
            </w:r>
            <w:r w:rsidR="00606FCA" w:rsidRPr="00573528">
              <w:rPr>
                <w:rFonts w:eastAsia="Times New Roman" w:cs="Times New Roman"/>
                <w:b/>
                <w:sz w:val="20"/>
                <w:szCs w:val="20"/>
              </w:rPr>
              <w:t>Penalties Avoided</w:t>
            </w:r>
          </w:p>
        </w:tc>
        <w:tc>
          <w:tcPr>
            <w:tcW w:w="7218" w:type="dxa"/>
          </w:tcPr>
          <w:p w:rsidR="00993A19" w:rsidRDefault="00993A19" w:rsidP="00606FCA">
            <w:pPr>
              <w:rPr>
                <w:rFonts w:eastAsia="Times New Roman" w:cs="Times New Roman"/>
                <w:b/>
                <w:sz w:val="20"/>
                <w:szCs w:val="20"/>
                <w:u w:val="single"/>
              </w:rPr>
            </w:pPr>
          </w:p>
          <w:p w:rsidR="00B72648" w:rsidRPr="00A9326A" w:rsidRDefault="00B72648" w:rsidP="00573528">
            <w:pPr>
              <w:rPr>
                <w:rFonts w:eastAsia="Times New Roman" w:cs="Times New Roman"/>
                <w:b/>
                <w:sz w:val="20"/>
                <w:szCs w:val="20"/>
                <w:u w:val="single"/>
              </w:rPr>
            </w:pPr>
            <w:r w:rsidRPr="00A9326A">
              <w:rPr>
                <w:rFonts w:eastAsia="Times New Roman" w:cs="Times New Roman"/>
                <w:b/>
                <w:sz w:val="20"/>
                <w:szCs w:val="20"/>
                <w:u w:val="single"/>
              </w:rPr>
              <w:t>Income-Tax Penalties</w:t>
            </w:r>
            <w:r w:rsidR="005E4DA1">
              <w:rPr>
                <w:rFonts w:eastAsia="Times New Roman" w:cs="Times New Roman"/>
                <w:b/>
                <w:sz w:val="20"/>
                <w:szCs w:val="20"/>
                <w:u w:val="single"/>
              </w:rPr>
              <w:t>:</w:t>
            </w:r>
          </w:p>
          <w:p w:rsidR="00B72648" w:rsidRPr="00A9326A" w:rsidRDefault="00B72648" w:rsidP="00573528">
            <w:pPr>
              <w:rPr>
                <w:rFonts w:eastAsia="Times New Roman" w:cs="Times New Roman"/>
                <w:sz w:val="20"/>
                <w:szCs w:val="20"/>
              </w:rPr>
            </w:pPr>
          </w:p>
          <w:p w:rsidR="00B72648" w:rsidRPr="00A9326A" w:rsidRDefault="00B72648" w:rsidP="00573528">
            <w:pPr>
              <w:rPr>
                <w:rFonts w:eastAsia="Times New Roman" w:cs="Times New Roman"/>
                <w:sz w:val="20"/>
                <w:szCs w:val="20"/>
              </w:rPr>
            </w:pPr>
            <w:r w:rsidRPr="00A9326A">
              <w:rPr>
                <w:rFonts w:eastAsia="Times New Roman" w:cs="Times New Roman"/>
                <w:sz w:val="20"/>
                <w:szCs w:val="20"/>
              </w:rPr>
              <w:t>1. 75% fraud p</w:t>
            </w:r>
            <w:r w:rsidR="002A595C">
              <w:rPr>
                <w:rFonts w:eastAsia="Times New Roman" w:cs="Times New Roman"/>
                <w:sz w:val="20"/>
                <w:szCs w:val="20"/>
              </w:rPr>
              <w:t>enalty under IRC § 6651</w:t>
            </w:r>
          </w:p>
          <w:p w:rsidR="00B72648" w:rsidRPr="00A9326A" w:rsidRDefault="00B72648" w:rsidP="00573528">
            <w:pPr>
              <w:rPr>
                <w:rFonts w:eastAsia="Times New Roman" w:cs="Times New Roman"/>
                <w:sz w:val="20"/>
                <w:szCs w:val="20"/>
              </w:rPr>
            </w:pPr>
          </w:p>
          <w:p w:rsidR="00726972" w:rsidRPr="00A9326A" w:rsidRDefault="00726972" w:rsidP="00573528">
            <w:pPr>
              <w:rPr>
                <w:rFonts w:eastAsia="Times New Roman" w:cs="Times New Roman"/>
                <w:sz w:val="20"/>
                <w:szCs w:val="20"/>
              </w:rPr>
            </w:pPr>
            <w:r w:rsidRPr="00A9326A">
              <w:rPr>
                <w:rFonts w:eastAsia="Times New Roman" w:cs="Times New Roman"/>
                <w:sz w:val="20"/>
                <w:szCs w:val="20"/>
              </w:rPr>
              <w:t>2.</w:t>
            </w:r>
            <w:r w:rsidR="006F5E4E" w:rsidRPr="00A9326A">
              <w:rPr>
                <w:rFonts w:eastAsia="Times New Roman" w:cs="Times New Roman"/>
                <w:sz w:val="20"/>
                <w:szCs w:val="20"/>
              </w:rPr>
              <w:t xml:space="preserve"> </w:t>
            </w:r>
            <w:r w:rsidR="00A9326A" w:rsidRPr="00A9326A">
              <w:rPr>
                <w:rFonts w:eastAsia="Times New Roman" w:cs="Times New Roman"/>
                <w:sz w:val="20"/>
                <w:szCs w:val="20"/>
              </w:rPr>
              <w:t xml:space="preserve">40% </w:t>
            </w:r>
            <w:r w:rsidRPr="00A9326A">
              <w:rPr>
                <w:rFonts w:eastAsia="Times New Roman" w:cs="Times New Roman"/>
                <w:sz w:val="20"/>
                <w:szCs w:val="20"/>
              </w:rPr>
              <w:t xml:space="preserve">accuracy-related penalty under </w:t>
            </w:r>
            <w:r w:rsidR="00042879">
              <w:rPr>
                <w:rFonts w:eastAsia="Times New Roman" w:cs="Times New Roman"/>
                <w:sz w:val="20"/>
                <w:szCs w:val="20"/>
              </w:rPr>
              <w:t xml:space="preserve">IRC § </w:t>
            </w:r>
            <w:r w:rsidR="002A595C">
              <w:rPr>
                <w:rFonts w:eastAsia="Times New Roman" w:cs="Times New Roman"/>
                <w:sz w:val="20"/>
                <w:szCs w:val="20"/>
              </w:rPr>
              <w:t>6662</w:t>
            </w:r>
            <w:r w:rsidRPr="00A9326A">
              <w:rPr>
                <w:rFonts w:eastAsia="Times New Roman" w:cs="Times New Roman"/>
                <w:sz w:val="20"/>
                <w:szCs w:val="20"/>
              </w:rPr>
              <w:t xml:space="preserve">  </w:t>
            </w:r>
          </w:p>
          <w:p w:rsidR="00B72648" w:rsidRPr="00A9326A" w:rsidRDefault="00B72648" w:rsidP="00573528">
            <w:pPr>
              <w:rPr>
                <w:rFonts w:eastAsia="Times New Roman" w:cs="Times New Roman"/>
                <w:sz w:val="20"/>
                <w:szCs w:val="20"/>
              </w:rPr>
            </w:pPr>
          </w:p>
          <w:p w:rsidR="00B72648" w:rsidRPr="00A9326A" w:rsidRDefault="00B72648" w:rsidP="00573528">
            <w:pPr>
              <w:rPr>
                <w:rFonts w:eastAsia="Times New Roman" w:cs="Times New Roman"/>
                <w:b/>
                <w:sz w:val="20"/>
                <w:szCs w:val="20"/>
                <w:u w:val="single"/>
              </w:rPr>
            </w:pPr>
            <w:r w:rsidRPr="00A9326A">
              <w:rPr>
                <w:rFonts w:eastAsia="Times New Roman" w:cs="Times New Roman"/>
                <w:b/>
                <w:sz w:val="20"/>
                <w:szCs w:val="20"/>
                <w:u w:val="single"/>
              </w:rPr>
              <w:t>Information Return Penalties</w:t>
            </w:r>
            <w:r w:rsidR="005E4DA1">
              <w:rPr>
                <w:rFonts w:eastAsia="Times New Roman" w:cs="Times New Roman"/>
                <w:b/>
                <w:sz w:val="20"/>
                <w:szCs w:val="20"/>
                <w:u w:val="single"/>
              </w:rPr>
              <w:t xml:space="preserve"> Associated with the Following Forms:</w:t>
            </w:r>
          </w:p>
          <w:p w:rsidR="00B72648" w:rsidRPr="00A9326A" w:rsidRDefault="00B72648" w:rsidP="00573528">
            <w:pPr>
              <w:rPr>
                <w:rFonts w:eastAsia="Times New Roman" w:cs="Times New Roman"/>
                <w:sz w:val="20"/>
                <w:szCs w:val="20"/>
              </w:rPr>
            </w:pPr>
          </w:p>
          <w:p w:rsidR="00C90234" w:rsidRPr="00A9326A" w:rsidRDefault="006F5E4E" w:rsidP="00573528">
            <w:pPr>
              <w:rPr>
                <w:rFonts w:eastAsia="Times New Roman" w:cs="Times New Roman"/>
                <w:sz w:val="20"/>
                <w:szCs w:val="20"/>
              </w:rPr>
            </w:pPr>
            <w:r w:rsidRPr="00A9326A">
              <w:rPr>
                <w:rFonts w:eastAsia="Times New Roman" w:cs="Times New Roman"/>
                <w:sz w:val="20"/>
                <w:szCs w:val="20"/>
              </w:rPr>
              <w:t>1.</w:t>
            </w:r>
            <w:r w:rsidR="00993A19">
              <w:rPr>
                <w:rFonts w:eastAsia="Times New Roman" w:cs="Times New Roman"/>
                <w:sz w:val="20"/>
                <w:szCs w:val="20"/>
              </w:rPr>
              <w:t xml:space="preserve">  </w:t>
            </w:r>
            <w:r w:rsidRPr="00A9326A">
              <w:rPr>
                <w:rFonts w:eastAsia="Times New Roman" w:cs="Times New Roman"/>
                <w:b/>
                <w:sz w:val="20"/>
                <w:szCs w:val="20"/>
              </w:rPr>
              <w:t>FBAR</w:t>
            </w:r>
            <w:r w:rsidRPr="00A9326A">
              <w:rPr>
                <w:rFonts w:eastAsia="Times New Roman" w:cs="Times New Roman"/>
                <w:sz w:val="20"/>
                <w:szCs w:val="20"/>
              </w:rPr>
              <w:t xml:space="preserve"> (both willful </w:t>
            </w:r>
            <w:r w:rsidR="00606FCA" w:rsidRPr="00A9326A">
              <w:rPr>
                <w:rFonts w:eastAsia="Times New Roman" w:cs="Times New Roman"/>
                <w:sz w:val="20"/>
                <w:szCs w:val="20"/>
              </w:rPr>
              <w:t>and non-willful</w:t>
            </w:r>
            <w:r w:rsidR="00993A19">
              <w:rPr>
                <w:rFonts w:eastAsia="Times New Roman" w:cs="Times New Roman"/>
                <w:sz w:val="20"/>
                <w:szCs w:val="20"/>
              </w:rPr>
              <w:t>; see above</w:t>
            </w:r>
            <w:r w:rsidR="00606FCA" w:rsidRPr="00A9326A">
              <w:rPr>
                <w:rFonts w:eastAsia="Times New Roman" w:cs="Times New Roman"/>
                <w:sz w:val="20"/>
                <w:szCs w:val="20"/>
              </w:rPr>
              <w:t>).</w:t>
            </w:r>
          </w:p>
          <w:p w:rsidR="00606FCA" w:rsidRPr="00A9326A" w:rsidRDefault="00606FCA" w:rsidP="00573528">
            <w:pPr>
              <w:rPr>
                <w:rFonts w:eastAsia="Times New Roman" w:cs="Times New Roman"/>
                <w:sz w:val="20"/>
                <w:szCs w:val="20"/>
              </w:rPr>
            </w:pPr>
          </w:p>
          <w:p w:rsidR="00606FCA" w:rsidRPr="00A9326A" w:rsidRDefault="00606FCA" w:rsidP="00573528">
            <w:pPr>
              <w:rPr>
                <w:rFonts w:eastAsia="Times New Roman" w:cs="Times New Roman"/>
                <w:sz w:val="20"/>
                <w:szCs w:val="20"/>
              </w:rPr>
            </w:pPr>
            <w:r w:rsidRPr="00A9326A">
              <w:rPr>
                <w:rFonts w:eastAsia="Times New Roman" w:cs="Times New Roman"/>
                <w:sz w:val="20"/>
                <w:szCs w:val="20"/>
              </w:rPr>
              <w:t>2.</w:t>
            </w:r>
            <w:r w:rsidR="00993A19">
              <w:rPr>
                <w:rFonts w:eastAsia="Times New Roman" w:cs="Times New Roman"/>
                <w:sz w:val="20"/>
                <w:szCs w:val="20"/>
              </w:rPr>
              <w:t xml:space="preserve"> </w:t>
            </w:r>
            <w:r w:rsidRPr="00A9326A">
              <w:rPr>
                <w:rFonts w:eastAsia="Times New Roman" w:cs="Times New Roman"/>
                <w:b/>
                <w:sz w:val="20"/>
                <w:szCs w:val="20"/>
              </w:rPr>
              <w:t>FATCA (Form 8938)</w:t>
            </w:r>
            <w:r w:rsidRPr="00A9326A">
              <w:rPr>
                <w:rFonts w:eastAsia="Times New Roman" w:cs="Times New Roman"/>
                <w:sz w:val="20"/>
                <w:szCs w:val="20"/>
              </w:rPr>
              <w:t xml:space="preserve"> </w:t>
            </w:r>
          </w:p>
          <w:p w:rsidR="005E4DA1" w:rsidRDefault="005E4DA1" w:rsidP="00573528">
            <w:pPr>
              <w:rPr>
                <w:rFonts w:eastAsia="Times New Roman" w:cs="Times New Roman"/>
                <w:sz w:val="20"/>
                <w:szCs w:val="20"/>
              </w:rPr>
            </w:pPr>
          </w:p>
          <w:p w:rsidR="00606FCA" w:rsidRDefault="006F5E4E" w:rsidP="00573528">
            <w:pPr>
              <w:rPr>
                <w:rFonts w:eastAsia="Times New Roman" w:cs="Times New Roman"/>
                <w:sz w:val="20"/>
                <w:szCs w:val="20"/>
              </w:rPr>
            </w:pPr>
            <w:r w:rsidRPr="00A9326A">
              <w:rPr>
                <w:rFonts w:eastAsia="Times New Roman" w:cs="Times New Roman"/>
                <w:sz w:val="20"/>
                <w:szCs w:val="20"/>
              </w:rPr>
              <w:t>3.</w:t>
            </w:r>
            <w:r w:rsidR="00573528">
              <w:rPr>
                <w:rFonts w:eastAsia="Times New Roman" w:cs="Times New Roman"/>
                <w:sz w:val="20"/>
                <w:szCs w:val="20"/>
              </w:rPr>
              <w:t xml:space="preserve"> </w:t>
            </w:r>
            <w:r w:rsidR="00606FCA" w:rsidRPr="00A9326A">
              <w:rPr>
                <w:rFonts w:eastAsia="Times New Roman" w:cs="Times New Roman"/>
                <w:b/>
                <w:sz w:val="20"/>
                <w:szCs w:val="20"/>
              </w:rPr>
              <w:t>Annual Return to Report Transactions With Foreign Trusts and Receipt of Certain Foreign Gifts (Form 3520)</w:t>
            </w:r>
            <w:r w:rsidR="005E4DA1">
              <w:rPr>
                <w:rFonts w:eastAsia="Times New Roman" w:cs="Times New Roman"/>
                <w:sz w:val="20"/>
                <w:szCs w:val="20"/>
              </w:rPr>
              <w:t xml:space="preserve"> </w:t>
            </w:r>
          </w:p>
          <w:p w:rsidR="005E4DA1" w:rsidRPr="00A9326A" w:rsidRDefault="005E4DA1" w:rsidP="00573528">
            <w:pPr>
              <w:rPr>
                <w:rFonts w:eastAsia="Times New Roman" w:cs="Times New Roman"/>
                <w:sz w:val="20"/>
                <w:szCs w:val="20"/>
              </w:rPr>
            </w:pPr>
          </w:p>
          <w:p w:rsidR="00B72648" w:rsidRDefault="006F5E4E" w:rsidP="00573528">
            <w:pPr>
              <w:rPr>
                <w:rFonts w:eastAsia="Times New Roman" w:cs="Times New Roman"/>
                <w:sz w:val="20"/>
                <w:szCs w:val="20"/>
              </w:rPr>
            </w:pPr>
            <w:r w:rsidRPr="00A9326A">
              <w:rPr>
                <w:rFonts w:eastAsia="Times New Roman" w:cs="Times New Roman"/>
                <w:sz w:val="20"/>
                <w:szCs w:val="20"/>
              </w:rPr>
              <w:t>4</w:t>
            </w:r>
            <w:r w:rsidRPr="00A9326A">
              <w:rPr>
                <w:rFonts w:eastAsia="Times New Roman" w:cs="Times New Roman"/>
                <w:b/>
                <w:sz w:val="20"/>
                <w:szCs w:val="20"/>
              </w:rPr>
              <w:t xml:space="preserve">.  </w:t>
            </w:r>
            <w:r w:rsidR="00B72648" w:rsidRPr="00A9326A">
              <w:rPr>
                <w:rFonts w:eastAsia="Times New Roman" w:cs="Times New Roman"/>
                <w:b/>
                <w:sz w:val="20"/>
                <w:szCs w:val="20"/>
              </w:rPr>
              <w:t>Information Return of Foreign Trust With a U.S. Owner (Form 3520-A)</w:t>
            </w:r>
            <w:r w:rsidR="00B72648" w:rsidRPr="00A9326A">
              <w:rPr>
                <w:rFonts w:eastAsia="Times New Roman" w:cs="Times New Roman"/>
                <w:sz w:val="20"/>
                <w:szCs w:val="20"/>
              </w:rPr>
              <w:t xml:space="preserve"> </w:t>
            </w:r>
          </w:p>
          <w:p w:rsidR="005E4DA1" w:rsidRPr="00A9326A" w:rsidRDefault="005E4DA1" w:rsidP="00573528">
            <w:pPr>
              <w:rPr>
                <w:rFonts w:eastAsia="Times New Roman" w:cs="Times New Roman"/>
                <w:sz w:val="20"/>
                <w:szCs w:val="20"/>
              </w:rPr>
            </w:pPr>
          </w:p>
          <w:p w:rsidR="00B72648" w:rsidRDefault="00A9326A" w:rsidP="00573528">
            <w:pPr>
              <w:rPr>
                <w:rFonts w:eastAsia="Times New Roman" w:cs="Times New Roman"/>
                <w:sz w:val="20"/>
                <w:szCs w:val="20"/>
              </w:rPr>
            </w:pPr>
            <w:r w:rsidRPr="00A9326A">
              <w:rPr>
                <w:rFonts w:eastAsia="Times New Roman" w:cs="Times New Roman"/>
                <w:sz w:val="20"/>
                <w:szCs w:val="20"/>
              </w:rPr>
              <w:t>5.</w:t>
            </w:r>
            <w:r w:rsidR="00573528">
              <w:rPr>
                <w:rFonts w:eastAsia="Times New Roman" w:cs="Times New Roman"/>
                <w:sz w:val="20"/>
                <w:szCs w:val="20"/>
              </w:rPr>
              <w:t xml:space="preserve"> </w:t>
            </w:r>
            <w:r w:rsidR="00B72648" w:rsidRPr="00A9326A">
              <w:rPr>
                <w:rFonts w:eastAsia="Times New Roman" w:cs="Times New Roman"/>
                <w:b/>
                <w:sz w:val="20"/>
                <w:szCs w:val="20"/>
              </w:rPr>
              <w:t>Information Return of U.S. Persons with Respect to Certain Foreign Corporations (Form 5471)</w:t>
            </w:r>
            <w:r w:rsidR="00B72648" w:rsidRPr="00A9326A">
              <w:rPr>
                <w:rFonts w:eastAsia="Times New Roman" w:cs="Times New Roman"/>
                <w:sz w:val="20"/>
                <w:szCs w:val="20"/>
              </w:rPr>
              <w:t xml:space="preserve"> </w:t>
            </w:r>
          </w:p>
          <w:p w:rsidR="005E4DA1" w:rsidRPr="00A9326A" w:rsidRDefault="005E4DA1" w:rsidP="00573528">
            <w:pPr>
              <w:rPr>
                <w:rFonts w:eastAsia="Times New Roman" w:cs="Times New Roman"/>
                <w:sz w:val="20"/>
                <w:szCs w:val="20"/>
              </w:rPr>
            </w:pPr>
          </w:p>
          <w:p w:rsidR="00B72648" w:rsidRDefault="00A9326A" w:rsidP="00573528">
            <w:pPr>
              <w:rPr>
                <w:rFonts w:eastAsia="Times New Roman" w:cs="Times New Roman"/>
                <w:sz w:val="20"/>
                <w:szCs w:val="20"/>
              </w:rPr>
            </w:pPr>
            <w:r w:rsidRPr="00A9326A">
              <w:rPr>
                <w:rFonts w:eastAsia="Times New Roman" w:cs="Times New Roman"/>
                <w:sz w:val="20"/>
                <w:szCs w:val="20"/>
              </w:rPr>
              <w:t xml:space="preserve">6. </w:t>
            </w:r>
            <w:r w:rsidR="00B72648" w:rsidRPr="00A9326A">
              <w:rPr>
                <w:rFonts w:eastAsia="Times New Roman" w:cs="Times New Roman"/>
                <w:b/>
                <w:sz w:val="20"/>
                <w:szCs w:val="20"/>
              </w:rPr>
              <w:t>Information Return of a 25% Foreign-Owned U.S. Corporation or a Foreign Corporation Engaged in a U.S. Trade or Business (Form 572)</w:t>
            </w:r>
            <w:r w:rsidR="00B72648" w:rsidRPr="00A9326A">
              <w:rPr>
                <w:rFonts w:eastAsia="Times New Roman" w:cs="Times New Roman"/>
                <w:sz w:val="20"/>
                <w:szCs w:val="20"/>
              </w:rPr>
              <w:t xml:space="preserve"> </w:t>
            </w:r>
          </w:p>
          <w:p w:rsidR="005E4DA1" w:rsidRPr="00A9326A" w:rsidRDefault="005E4DA1" w:rsidP="00573528">
            <w:pPr>
              <w:rPr>
                <w:rFonts w:eastAsia="Times New Roman" w:cs="Times New Roman"/>
                <w:sz w:val="20"/>
                <w:szCs w:val="20"/>
              </w:rPr>
            </w:pPr>
          </w:p>
          <w:p w:rsidR="00B72648" w:rsidRPr="00A9326A" w:rsidRDefault="00A9326A" w:rsidP="00573528">
            <w:pPr>
              <w:rPr>
                <w:rFonts w:eastAsia="Times New Roman" w:cs="Times New Roman"/>
                <w:sz w:val="20"/>
                <w:szCs w:val="20"/>
              </w:rPr>
            </w:pPr>
            <w:r w:rsidRPr="00A9326A">
              <w:rPr>
                <w:rFonts w:eastAsia="Times New Roman" w:cs="Times New Roman"/>
                <w:sz w:val="20"/>
                <w:szCs w:val="20"/>
              </w:rPr>
              <w:t>7.</w:t>
            </w:r>
            <w:r w:rsidR="00573528">
              <w:rPr>
                <w:rFonts w:eastAsia="Times New Roman" w:cs="Times New Roman"/>
                <w:sz w:val="20"/>
                <w:szCs w:val="20"/>
              </w:rPr>
              <w:t xml:space="preserve"> </w:t>
            </w:r>
            <w:r w:rsidR="00B72648" w:rsidRPr="00A9326A">
              <w:rPr>
                <w:rFonts w:eastAsia="Times New Roman" w:cs="Times New Roman"/>
                <w:b/>
                <w:sz w:val="20"/>
                <w:szCs w:val="20"/>
              </w:rPr>
              <w:t>Return by a U.S. Transferor of Property to a Foreign Corporation (Form 926)</w:t>
            </w:r>
            <w:r w:rsidR="00B72648" w:rsidRPr="00A9326A">
              <w:rPr>
                <w:rFonts w:eastAsia="Times New Roman" w:cs="Times New Roman"/>
                <w:sz w:val="20"/>
                <w:szCs w:val="20"/>
              </w:rPr>
              <w:t xml:space="preserve"> </w:t>
            </w:r>
          </w:p>
          <w:p w:rsidR="00B72648" w:rsidRPr="00A9326A" w:rsidRDefault="00B72648" w:rsidP="00573528">
            <w:pPr>
              <w:rPr>
                <w:rFonts w:eastAsia="Times New Roman" w:cs="Times New Roman"/>
                <w:sz w:val="20"/>
                <w:szCs w:val="20"/>
              </w:rPr>
            </w:pPr>
          </w:p>
          <w:p w:rsidR="00B72648" w:rsidRDefault="00B72648" w:rsidP="00573528">
            <w:pPr>
              <w:rPr>
                <w:rFonts w:eastAsia="Times New Roman" w:cs="Times New Roman"/>
                <w:sz w:val="20"/>
                <w:szCs w:val="20"/>
              </w:rPr>
            </w:pPr>
            <w:r w:rsidRPr="00A9326A">
              <w:rPr>
                <w:rFonts w:eastAsia="Times New Roman" w:cs="Times New Roman"/>
                <w:sz w:val="20"/>
                <w:szCs w:val="20"/>
              </w:rPr>
              <w:t>8.</w:t>
            </w:r>
            <w:r w:rsidR="00573528">
              <w:rPr>
                <w:rFonts w:eastAsia="Times New Roman" w:cs="Times New Roman"/>
                <w:sz w:val="20"/>
                <w:szCs w:val="20"/>
              </w:rPr>
              <w:t xml:space="preserve"> </w:t>
            </w:r>
            <w:r w:rsidRPr="00A9326A">
              <w:rPr>
                <w:rFonts w:eastAsia="Times New Roman" w:cs="Times New Roman"/>
                <w:b/>
                <w:sz w:val="20"/>
                <w:szCs w:val="20"/>
              </w:rPr>
              <w:t>Return of U.S. Persons With Respect to Certain Foreign Partnerships (Form 8865)</w:t>
            </w:r>
            <w:r w:rsidRPr="00A9326A">
              <w:rPr>
                <w:rFonts w:eastAsia="Times New Roman" w:cs="Times New Roman"/>
                <w:sz w:val="20"/>
                <w:szCs w:val="20"/>
              </w:rPr>
              <w:t xml:space="preserve"> </w:t>
            </w:r>
          </w:p>
          <w:p w:rsidR="005E4DA1" w:rsidRPr="00A9326A" w:rsidRDefault="005E4DA1" w:rsidP="005E4DA1">
            <w:pPr>
              <w:jc w:val="both"/>
              <w:rPr>
                <w:rFonts w:eastAsia="Times New Roman" w:cs="Times New Roman"/>
                <w:sz w:val="20"/>
                <w:szCs w:val="20"/>
              </w:rPr>
            </w:pPr>
          </w:p>
        </w:tc>
      </w:tr>
      <w:tr w:rsidR="00606FCA" w:rsidTr="00042879">
        <w:trPr>
          <w:trHeight w:val="70"/>
        </w:trPr>
        <w:tc>
          <w:tcPr>
            <w:tcW w:w="2340" w:type="dxa"/>
          </w:tcPr>
          <w:p w:rsidR="00573528" w:rsidRPr="00573528" w:rsidRDefault="00573528" w:rsidP="00C90234">
            <w:pPr>
              <w:pStyle w:val="ListParagraph"/>
              <w:ind w:left="0"/>
              <w:rPr>
                <w:rFonts w:eastAsia="Times New Roman" w:cs="Times New Roman"/>
                <w:b/>
                <w:sz w:val="20"/>
                <w:szCs w:val="20"/>
              </w:rPr>
            </w:pPr>
          </w:p>
          <w:p w:rsidR="00C90234" w:rsidRPr="00573528" w:rsidRDefault="00726972" w:rsidP="00C90234">
            <w:pPr>
              <w:pStyle w:val="ListParagraph"/>
              <w:ind w:left="0"/>
              <w:rPr>
                <w:rFonts w:eastAsia="Times New Roman" w:cs="Times New Roman"/>
                <w:b/>
                <w:sz w:val="20"/>
                <w:szCs w:val="20"/>
              </w:rPr>
            </w:pPr>
            <w:r w:rsidRPr="00573528">
              <w:rPr>
                <w:rFonts w:eastAsia="Times New Roman" w:cs="Times New Roman"/>
                <w:b/>
                <w:sz w:val="20"/>
                <w:szCs w:val="20"/>
              </w:rPr>
              <w:t>Criminal Charges Avoided</w:t>
            </w:r>
          </w:p>
        </w:tc>
        <w:tc>
          <w:tcPr>
            <w:tcW w:w="7218" w:type="dxa"/>
          </w:tcPr>
          <w:p w:rsidR="00573528" w:rsidRDefault="00573528" w:rsidP="00726972">
            <w:pPr>
              <w:rPr>
                <w:rFonts w:eastAsia="Times New Roman" w:cs="Times New Roman"/>
                <w:sz w:val="20"/>
                <w:szCs w:val="20"/>
              </w:rPr>
            </w:pPr>
          </w:p>
          <w:p w:rsidR="00726972" w:rsidRPr="00A9326A" w:rsidRDefault="00726972" w:rsidP="00726972">
            <w:pPr>
              <w:rPr>
                <w:rFonts w:eastAsia="Times New Roman" w:cs="Times New Roman"/>
                <w:sz w:val="20"/>
                <w:szCs w:val="20"/>
              </w:rPr>
            </w:pPr>
            <w:r w:rsidRPr="00A9326A">
              <w:rPr>
                <w:rFonts w:eastAsia="Times New Roman" w:cs="Times New Roman"/>
                <w:sz w:val="20"/>
                <w:szCs w:val="20"/>
              </w:rPr>
              <w:t>1. Tax evasion (IRC § 7201)</w:t>
            </w:r>
            <w:r w:rsidR="00E07EAF" w:rsidRPr="00A9326A">
              <w:rPr>
                <w:rFonts w:eastAsia="Times New Roman" w:cs="Times New Roman"/>
                <w:sz w:val="20"/>
                <w:szCs w:val="20"/>
              </w:rPr>
              <w:t xml:space="preserve"> - </w:t>
            </w:r>
            <w:r w:rsidR="00E07EAF" w:rsidRPr="00A9326A">
              <w:rPr>
                <w:rFonts w:cs="Times New Roman"/>
                <w:color w:val="000000"/>
                <w:sz w:val="20"/>
                <w:szCs w:val="20"/>
              </w:rPr>
              <w:t>up to five years</w:t>
            </w:r>
            <w:r w:rsidR="00042879">
              <w:rPr>
                <w:rFonts w:cs="Times New Roman"/>
                <w:color w:val="000000"/>
                <w:sz w:val="20"/>
                <w:szCs w:val="20"/>
              </w:rPr>
              <w:t xml:space="preserve"> in prison</w:t>
            </w:r>
            <w:r w:rsidR="00E07EAF" w:rsidRPr="00A9326A">
              <w:rPr>
                <w:rFonts w:cs="Times New Roman"/>
                <w:color w:val="000000"/>
                <w:sz w:val="20"/>
                <w:szCs w:val="20"/>
              </w:rPr>
              <w:t xml:space="preserve"> and a fine of up to $250,000</w:t>
            </w:r>
            <w:r w:rsidR="00573528">
              <w:rPr>
                <w:rFonts w:cs="Times New Roman"/>
                <w:color w:val="000000"/>
                <w:sz w:val="20"/>
                <w:szCs w:val="20"/>
              </w:rPr>
              <w:t>.</w:t>
            </w:r>
          </w:p>
          <w:p w:rsidR="00726972" w:rsidRPr="00A9326A" w:rsidRDefault="00726972" w:rsidP="00726972">
            <w:pPr>
              <w:rPr>
                <w:rFonts w:eastAsia="Times New Roman" w:cs="Times New Roman"/>
                <w:sz w:val="20"/>
                <w:szCs w:val="20"/>
              </w:rPr>
            </w:pPr>
          </w:p>
          <w:p w:rsidR="00726972" w:rsidRPr="00A9326A" w:rsidRDefault="00726972" w:rsidP="00726972">
            <w:pPr>
              <w:rPr>
                <w:rFonts w:eastAsia="Times New Roman" w:cs="Times New Roman"/>
                <w:sz w:val="20"/>
                <w:szCs w:val="20"/>
              </w:rPr>
            </w:pPr>
            <w:r w:rsidRPr="00A9326A">
              <w:rPr>
                <w:rFonts w:eastAsia="Times New Roman" w:cs="Times New Roman"/>
                <w:sz w:val="20"/>
                <w:szCs w:val="20"/>
              </w:rPr>
              <w:t>2. Filing a false return (IRC § 7206(1))</w:t>
            </w:r>
            <w:r w:rsidR="00E07EAF" w:rsidRPr="00A9326A">
              <w:rPr>
                <w:rFonts w:eastAsia="Times New Roman" w:cs="Times New Roman"/>
                <w:sz w:val="20"/>
                <w:szCs w:val="20"/>
              </w:rPr>
              <w:t xml:space="preserve"> - </w:t>
            </w:r>
            <w:r w:rsidR="00E07EAF" w:rsidRPr="00A9326A">
              <w:rPr>
                <w:rFonts w:cs="Times New Roman"/>
                <w:color w:val="000000"/>
                <w:sz w:val="20"/>
                <w:szCs w:val="20"/>
              </w:rPr>
              <w:t xml:space="preserve">up to three years </w:t>
            </w:r>
            <w:r w:rsidR="00042879">
              <w:rPr>
                <w:rFonts w:cs="Times New Roman"/>
                <w:color w:val="000000"/>
                <w:sz w:val="20"/>
                <w:szCs w:val="20"/>
              </w:rPr>
              <w:t xml:space="preserve">in prison </w:t>
            </w:r>
            <w:r w:rsidR="00E07EAF" w:rsidRPr="00A9326A">
              <w:rPr>
                <w:rFonts w:cs="Times New Roman"/>
                <w:color w:val="000000"/>
                <w:sz w:val="20"/>
                <w:szCs w:val="20"/>
              </w:rPr>
              <w:t>and a fine of up to $250,000.</w:t>
            </w:r>
          </w:p>
          <w:p w:rsidR="00726972" w:rsidRPr="00A9326A" w:rsidRDefault="00726972" w:rsidP="00726972">
            <w:pPr>
              <w:rPr>
                <w:rFonts w:eastAsia="Times New Roman" w:cs="Times New Roman"/>
                <w:sz w:val="20"/>
                <w:szCs w:val="20"/>
              </w:rPr>
            </w:pPr>
          </w:p>
          <w:p w:rsidR="00726972" w:rsidRPr="00A9326A" w:rsidRDefault="00726972" w:rsidP="00726972">
            <w:pPr>
              <w:rPr>
                <w:rFonts w:eastAsia="Times New Roman" w:cs="Times New Roman"/>
                <w:sz w:val="20"/>
                <w:szCs w:val="20"/>
              </w:rPr>
            </w:pPr>
            <w:r w:rsidRPr="00A9326A">
              <w:rPr>
                <w:rFonts w:eastAsia="Times New Roman" w:cs="Times New Roman"/>
                <w:sz w:val="20"/>
                <w:szCs w:val="20"/>
              </w:rPr>
              <w:t>3. Failing to file (IRC § 7203)</w:t>
            </w:r>
            <w:r w:rsidR="00E07EAF" w:rsidRPr="00A9326A">
              <w:rPr>
                <w:rFonts w:eastAsia="Times New Roman" w:cs="Times New Roman"/>
                <w:sz w:val="20"/>
                <w:szCs w:val="20"/>
              </w:rPr>
              <w:t xml:space="preserve"> - </w:t>
            </w:r>
            <w:r w:rsidR="00E07EAF" w:rsidRPr="00A9326A">
              <w:rPr>
                <w:rFonts w:cs="Times New Roman"/>
                <w:color w:val="000000"/>
                <w:sz w:val="20"/>
                <w:szCs w:val="20"/>
              </w:rPr>
              <w:t xml:space="preserve">up to one year </w:t>
            </w:r>
            <w:r w:rsidR="00042879">
              <w:rPr>
                <w:rFonts w:cs="Times New Roman"/>
                <w:color w:val="000000"/>
                <w:sz w:val="20"/>
                <w:szCs w:val="20"/>
              </w:rPr>
              <w:t xml:space="preserve">in prison </w:t>
            </w:r>
            <w:r w:rsidR="00E07EAF" w:rsidRPr="00A9326A">
              <w:rPr>
                <w:rFonts w:cs="Times New Roman"/>
                <w:color w:val="000000"/>
                <w:sz w:val="20"/>
                <w:szCs w:val="20"/>
              </w:rPr>
              <w:t>and a fine of up to $100,000</w:t>
            </w:r>
            <w:r w:rsidR="00573528">
              <w:rPr>
                <w:rFonts w:cs="Times New Roman"/>
                <w:color w:val="000000"/>
                <w:sz w:val="20"/>
                <w:szCs w:val="20"/>
              </w:rPr>
              <w:t>.</w:t>
            </w:r>
          </w:p>
          <w:p w:rsidR="00726972" w:rsidRPr="00A9326A" w:rsidRDefault="00726972" w:rsidP="006F5E4E">
            <w:pPr>
              <w:ind w:firstLine="720"/>
              <w:rPr>
                <w:rFonts w:eastAsia="Times New Roman" w:cs="Times New Roman"/>
                <w:sz w:val="20"/>
                <w:szCs w:val="20"/>
              </w:rPr>
            </w:pPr>
          </w:p>
          <w:p w:rsidR="00726972" w:rsidRDefault="00726972" w:rsidP="00726972">
            <w:pPr>
              <w:rPr>
                <w:rFonts w:cs="Times New Roman"/>
                <w:color w:val="000000"/>
                <w:sz w:val="20"/>
                <w:szCs w:val="20"/>
              </w:rPr>
            </w:pPr>
            <w:r w:rsidRPr="00A9326A">
              <w:rPr>
                <w:rFonts w:eastAsia="Times New Roman" w:cs="Times New Roman"/>
                <w:sz w:val="20"/>
                <w:szCs w:val="20"/>
              </w:rPr>
              <w:t>4. Willfully failing to file FBAR (31 U.S.C.</w:t>
            </w:r>
            <w:r w:rsidR="00042879">
              <w:rPr>
                <w:rFonts w:eastAsia="Times New Roman" w:cs="Times New Roman"/>
                <w:sz w:val="20"/>
                <w:szCs w:val="20"/>
              </w:rPr>
              <w:t xml:space="preserve"> §</w:t>
            </w:r>
            <w:r w:rsidRPr="00A9326A">
              <w:rPr>
                <w:rFonts w:eastAsia="Times New Roman" w:cs="Times New Roman"/>
                <w:sz w:val="20"/>
                <w:szCs w:val="20"/>
              </w:rPr>
              <w:t xml:space="preserve"> 5322)</w:t>
            </w:r>
            <w:r w:rsidR="00E07EAF" w:rsidRPr="00A9326A">
              <w:rPr>
                <w:rFonts w:eastAsia="Times New Roman" w:cs="Times New Roman"/>
                <w:sz w:val="20"/>
                <w:szCs w:val="20"/>
              </w:rPr>
              <w:t xml:space="preserve"> - </w:t>
            </w:r>
            <w:r w:rsidR="00E07EAF" w:rsidRPr="00A9326A">
              <w:rPr>
                <w:rFonts w:cs="Times New Roman"/>
                <w:color w:val="000000"/>
                <w:sz w:val="20"/>
                <w:szCs w:val="20"/>
              </w:rPr>
              <w:t xml:space="preserve">up to ten years </w:t>
            </w:r>
            <w:r w:rsidR="00042879">
              <w:rPr>
                <w:rFonts w:cs="Times New Roman"/>
                <w:color w:val="000000"/>
                <w:sz w:val="20"/>
                <w:szCs w:val="20"/>
              </w:rPr>
              <w:t xml:space="preserve">in prison </w:t>
            </w:r>
            <w:r w:rsidR="00E07EAF" w:rsidRPr="00A9326A">
              <w:rPr>
                <w:rFonts w:cs="Times New Roman"/>
                <w:color w:val="000000"/>
                <w:sz w:val="20"/>
                <w:szCs w:val="20"/>
              </w:rPr>
              <w:t>and criminal penalties of up to $500,000</w:t>
            </w:r>
            <w:r w:rsidR="006F5E4E" w:rsidRPr="00A9326A">
              <w:rPr>
                <w:rFonts w:cs="Times New Roman"/>
                <w:color w:val="000000"/>
                <w:sz w:val="20"/>
                <w:szCs w:val="20"/>
              </w:rPr>
              <w:t>.</w:t>
            </w:r>
          </w:p>
          <w:p w:rsidR="00573528" w:rsidRPr="00A9326A" w:rsidRDefault="00573528" w:rsidP="00726972">
            <w:pPr>
              <w:rPr>
                <w:rFonts w:cs="Times New Roman"/>
                <w:color w:val="000000"/>
                <w:sz w:val="20"/>
                <w:szCs w:val="20"/>
              </w:rPr>
            </w:pPr>
          </w:p>
        </w:tc>
      </w:tr>
    </w:tbl>
    <w:p w:rsidR="00C90234" w:rsidRPr="00C90234" w:rsidRDefault="00C90234" w:rsidP="00C90234">
      <w:pPr>
        <w:pStyle w:val="ListParagraph"/>
        <w:ind w:left="1080"/>
        <w:rPr>
          <w:rFonts w:eastAsia="Times New Roman" w:cs="Times New Roman"/>
          <w:szCs w:val="24"/>
          <w:u w:val="single"/>
        </w:rPr>
      </w:pPr>
    </w:p>
    <w:p w:rsidR="00F51763" w:rsidRPr="001D3640" w:rsidRDefault="00A9326A" w:rsidP="00573528">
      <w:pPr>
        <w:jc w:val="both"/>
        <w:rPr>
          <w:rFonts w:eastAsia="Times New Roman" w:cs="Times New Roman"/>
          <w:sz w:val="22"/>
        </w:rPr>
      </w:pPr>
      <w:r>
        <w:rPr>
          <w:rFonts w:eastAsia="Times New Roman" w:cs="Times New Roman"/>
          <w:szCs w:val="24"/>
        </w:rPr>
        <w:tab/>
      </w:r>
      <w:r w:rsidRPr="001D3640">
        <w:rPr>
          <w:rFonts w:eastAsia="Times New Roman" w:cs="Times New Roman"/>
          <w:sz w:val="22"/>
        </w:rPr>
        <w:t xml:space="preserve">C. </w:t>
      </w:r>
      <w:r w:rsidRPr="001D3640">
        <w:rPr>
          <w:rFonts w:eastAsia="Times New Roman" w:cs="Times New Roman"/>
          <w:sz w:val="22"/>
        </w:rPr>
        <w:tab/>
      </w:r>
      <w:r w:rsidR="00F51763" w:rsidRPr="001D3640">
        <w:rPr>
          <w:rFonts w:eastAsia="Times New Roman" w:cs="Times New Roman"/>
          <w:sz w:val="22"/>
          <w:u w:val="single"/>
        </w:rPr>
        <w:t>Example</w:t>
      </w:r>
      <w:r w:rsidRPr="001D3640">
        <w:rPr>
          <w:rFonts w:eastAsia="Times New Roman" w:cs="Times New Roman"/>
          <w:sz w:val="22"/>
        </w:rPr>
        <w:t>.  Taxpayer has an offshore financial account and has not reported the interest income generated by the account.</w:t>
      </w:r>
      <w:r w:rsidR="00CB5F50" w:rsidRPr="001D3640">
        <w:rPr>
          <w:rFonts w:eastAsia="Times New Roman" w:cs="Times New Roman"/>
          <w:sz w:val="22"/>
        </w:rPr>
        <w:t xml:space="preserve">  </w:t>
      </w:r>
      <w:r w:rsidR="00573528">
        <w:rPr>
          <w:rFonts w:eastAsia="Times New Roman" w:cs="Times New Roman"/>
          <w:sz w:val="22"/>
        </w:rPr>
        <w:t xml:space="preserve">Taxpayer </w:t>
      </w:r>
      <w:r w:rsidRPr="001D3640">
        <w:rPr>
          <w:rFonts w:eastAsia="Times New Roman" w:cs="Times New Roman"/>
          <w:sz w:val="22"/>
        </w:rPr>
        <w:t xml:space="preserve">inherited the account from his father and, therefore, the </w:t>
      </w:r>
      <w:r w:rsidRPr="001D3640">
        <w:rPr>
          <w:rFonts w:eastAsia="Times New Roman" w:cs="Times New Roman"/>
          <w:sz w:val="22"/>
        </w:rPr>
        <w:lastRenderedPageBreak/>
        <w:t>original amount on deposit is not unreported income to the taxpayer. Below is a summary of the account's performance</w:t>
      </w:r>
      <w:r w:rsidR="00CB5F50" w:rsidRPr="001D3640">
        <w:rPr>
          <w:rFonts w:eastAsia="Times New Roman" w:cs="Times New Roman"/>
          <w:sz w:val="22"/>
        </w:rPr>
        <w:t>:</w:t>
      </w:r>
    </w:p>
    <w:p w:rsidR="00CB5F50" w:rsidRPr="001D3640" w:rsidRDefault="00CB5F50" w:rsidP="00F51763">
      <w:pPr>
        <w:rPr>
          <w:rFonts w:eastAsia="Times New Roman" w:cs="Times New Roman"/>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889"/>
        <w:gridCol w:w="3165"/>
        <w:gridCol w:w="2601"/>
        <w:gridCol w:w="2765"/>
      </w:tblGrid>
      <w:tr w:rsidR="00F51763" w:rsidRPr="001D3640" w:rsidTr="00CB5F50">
        <w:trPr>
          <w:jc w:val="center"/>
        </w:trPr>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b/>
                <w:bCs/>
                <w:color w:val="000000"/>
                <w:sz w:val="20"/>
                <w:szCs w:val="20"/>
              </w:rPr>
              <w:t>Year</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b/>
                <w:bCs/>
                <w:color w:val="000000"/>
                <w:sz w:val="20"/>
                <w:szCs w:val="20"/>
              </w:rPr>
              <w:t>Amount on Deposit</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b/>
                <w:bCs/>
                <w:color w:val="000000"/>
                <w:sz w:val="20"/>
                <w:szCs w:val="20"/>
              </w:rPr>
              <w:t>Interest Income</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b/>
                <w:bCs/>
                <w:color w:val="000000"/>
                <w:sz w:val="20"/>
                <w:szCs w:val="20"/>
              </w:rPr>
              <w:t>Account Balance</w:t>
            </w:r>
          </w:p>
        </w:tc>
      </w:tr>
      <w:tr w:rsidR="00F51763" w:rsidRPr="001D3640" w:rsidTr="00CB5F50">
        <w:trPr>
          <w:trHeight w:val="248"/>
          <w:jc w:val="center"/>
        </w:trPr>
        <w:tc>
          <w:tcPr>
            <w:tcW w:w="0" w:type="auto"/>
            <w:hideMark/>
          </w:tcPr>
          <w:p w:rsidR="00F51763" w:rsidRPr="001D3640" w:rsidRDefault="00CB5F50" w:rsidP="00F51763">
            <w:pPr>
              <w:rPr>
                <w:rFonts w:eastAsia="Times New Roman" w:cs="Times New Roman"/>
                <w:color w:val="000000"/>
                <w:sz w:val="20"/>
                <w:szCs w:val="20"/>
              </w:rPr>
            </w:pPr>
            <w:r w:rsidRPr="001D3640">
              <w:rPr>
                <w:rFonts w:eastAsia="Times New Roman" w:cs="Times New Roman"/>
                <w:color w:val="000000"/>
                <w:sz w:val="20"/>
                <w:szCs w:val="20"/>
              </w:rPr>
              <w:t>2004</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$1,000,000</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$50,000</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$1,050,000</w:t>
            </w:r>
          </w:p>
        </w:tc>
      </w:tr>
      <w:tr w:rsidR="00F51763" w:rsidRPr="001D3640" w:rsidTr="00CB5F50">
        <w:trPr>
          <w:jc w:val="center"/>
        </w:trPr>
        <w:tc>
          <w:tcPr>
            <w:tcW w:w="0" w:type="auto"/>
            <w:hideMark/>
          </w:tcPr>
          <w:p w:rsidR="00F51763" w:rsidRPr="001D3640" w:rsidRDefault="00CB5F50" w:rsidP="00F51763">
            <w:pPr>
              <w:rPr>
                <w:rFonts w:eastAsia="Times New Roman" w:cs="Times New Roman"/>
                <w:color w:val="000000"/>
                <w:sz w:val="20"/>
                <w:szCs w:val="20"/>
              </w:rPr>
            </w:pPr>
            <w:r w:rsidRPr="001D3640">
              <w:rPr>
                <w:rFonts w:eastAsia="Times New Roman" w:cs="Times New Roman"/>
                <w:color w:val="000000"/>
                <w:sz w:val="20"/>
                <w:szCs w:val="20"/>
              </w:rPr>
              <w:t>2005</w:t>
            </w:r>
          </w:p>
        </w:tc>
        <w:tc>
          <w:tcPr>
            <w:tcW w:w="0" w:type="auto"/>
            <w:hideMark/>
          </w:tcPr>
          <w:p w:rsidR="00F51763" w:rsidRPr="001D3640" w:rsidRDefault="00F51763" w:rsidP="00F51763">
            <w:pPr>
              <w:rPr>
                <w:rFonts w:eastAsia="Times New Roman" w:cs="Times New Roman"/>
                <w:color w:val="000000"/>
                <w:sz w:val="20"/>
                <w:szCs w:val="20"/>
              </w:rPr>
            </w:pP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$50,000</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$1,100,000</w:t>
            </w:r>
          </w:p>
        </w:tc>
      </w:tr>
      <w:tr w:rsidR="00F51763" w:rsidRPr="001D3640" w:rsidTr="00CB5F50">
        <w:trPr>
          <w:jc w:val="center"/>
        </w:trPr>
        <w:tc>
          <w:tcPr>
            <w:tcW w:w="0" w:type="auto"/>
            <w:hideMark/>
          </w:tcPr>
          <w:p w:rsidR="00F51763" w:rsidRPr="001D3640" w:rsidRDefault="00CB5F50" w:rsidP="00F51763">
            <w:pPr>
              <w:rPr>
                <w:rFonts w:eastAsia="Times New Roman" w:cs="Times New Roman"/>
                <w:color w:val="000000"/>
                <w:sz w:val="20"/>
                <w:szCs w:val="20"/>
              </w:rPr>
            </w:pPr>
            <w:r w:rsidRPr="001D3640">
              <w:rPr>
                <w:rFonts w:eastAsia="Times New Roman" w:cs="Times New Roman"/>
                <w:color w:val="000000"/>
                <w:sz w:val="20"/>
                <w:szCs w:val="20"/>
              </w:rPr>
              <w:t>2006</w:t>
            </w:r>
          </w:p>
        </w:tc>
        <w:tc>
          <w:tcPr>
            <w:tcW w:w="0" w:type="auto"/>
            <w:hideMark/>
          </w:tcPr>
          <w:p w:rsidR="00F51763" w:rsidRPr="001D3640" w:rsidRDefault="00F51763" w:rsidP="00F51763">
            <w:pPr>
              <w:rPr>
                <w:rFonts w:eastAsia="Times New Roman" w:cs="Times New Roman"/>
                <w:color w:val="000000"/>
                <w:sz w:val="20"/>
                <w:szCs w:val="20"/>
              </w:rPr>
            </w:pP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$50,000</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$1,150,000</w:t>
            </w:r>
          </w:p>
        </w:tc>
      </w:tr>
      <w:tr w:rsidR="00F51763" w:rsidRPr="001D3640" w:rsidTr="00CB5F50">
        <w:trPr>
          <w:jc w:val="center"/>
        </w:trPr>
        <w:tc>
          <w:tcPr>
            <w:tcW w:w="0" w:type="auto"/>
            <w:hideMark/>
          </w:tcPr>
          <w:p w:rsidR="00F51763" w:rsidRPr="001D3640" w:rsidRDefault="00CB5F50" w:rsidP="00F51763">
            <w:pPr>
              <w:rPr>
                <w:rFonts w:eastAsia="Times New Roman" w:cs="Times New Roman"/>
                <w:color w:val="000000"/>
                <w:sz w:val="20"/>
                <w:szCs w:val="20"/>
              </w:rPr>
            </w:pPr>
            <w:r w:rsidRPr="001D3640">
              <w:rPr>
                <w:rFonts w:eastAsia="Times New Roman" w:cs="Times New Roman"/>
                <w:color w:val="000000"/>
                <w:sz w:val="20"/>
                <w:szCs w:val="20"/>
              </w:rPr>
              <w:t>2007</w:t>
            </w:r>
          </w:p>
        </w:tc>
        <w:tc>
          <w:tcPr>
            <w:tcW w:w="0" w:type="auto"/>
            <w:hideMark/>
          </w:tcPr>
          <w:p w:rsidR="00F51763" w:rsidRPr="001D3640" w:rsidRDefault="00F51763" w:rsidP="00F51763">
            <w:pPr>
              <w:rPr>
                <w:rFonts w:eastAsia="Times New Roman" w:cs="Times New Roman"/>
                <w:color w:val="000000"/>
                <w:sz w:val="20"/>
                <w:szCs w:val="20"/>
              </w:rPr>
            </w:pP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$50,000</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$1,200,000</w:t>
            </w:r>
          </w:p>
        </w:tc>
      </w:tr>
      <w:tr w:rsidR="00F51763" w:rsidRPr="001D3640" w:rsidTr="00CB5F50">
        <w:trPr>
          <w:jc w:val="center"/>
        </w:trPr>
        <w:tc>
          <w:tcPr>
            <w:tcW w:w="0" w:type="auto"/>
            <w:hideMark/>
          </w:tcPr>
          <w:p w:rsidR="00F51763" w:rsidRPr="001D3640" w:rsidRDefault="00CB5F50" w:rsidP="00F51763">
            <w:pPr>
              <w:rPr>
                <w:rFonts w:eastAsia="Times New Roman" w:cs="Times New Roman"/>
                <w:color w:val="000000"/>
                <w:sz w:val="20"/>
                <w:szCs w:val="20"/>
              </w:rPr>
            </w:pPr>
            <w:r w:rsidRPr="001D3640">
              <w:rPr>
                <w:rFonts w:eastAsia="Times New Roman" w:cs="Times New Roman"/>
                <w:color w:val="000000"/>
                <w:sz w:val="20"/>
                <w:szCs w:val="20"/>
              </w:rPr>
              <w:t>2008</w:t>
            </w:r>
          </w:p>
        </w:tc>
        <w:tc>
          <w:tcPr>
            <w:tcW w:w="0" w:type="auto"/>
            <w:hideMark/>
          </w:tcPr>
          <w:p w:rsidR="00F51763" w:rsidRPr="001D3640" w:rsidRDefault="00F51763" w:rsidP="00F51763">
            <w:pPr>
              <w:rPr>
                <w:rFonts w:eastAsia="Times New Roman" w:cs="Times New Roman"/>
                <w:color w:val="000000"/>
                <w:sz w:val="20"/>
                <w:szCs w:val="20"/>
              </w:rPr>
            </w:pP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$50,000</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$1,250,000</w:t>
            </w:r>
          </w:p>
        </w:tc>
      </w:tr>
      <w:tr w:rsidR="00F51763" w:rsidRPr="001D3640" w:rsidTr="00CB5F50">
        <w:trPr>
          <w:jc w:val="center"/>
        </w:trPr>
        <w:tc>
          <w:tcPr>
            <w:tcW w:w="0" w:type="auto"/>
            <w:hideMark/>
          </w:tcPr>
          <w:p w:rsidR="00F51763" w:rsidRPr="001D3640" w:rsidRDefault="00CB5F50" w:rsidP="00F51763">
            <w:pPr>
              <w:rPr>
                <w:rFonts w:eastAsia="Times New Roman" w:cs="Times New Roman"/>
                <w:color w:val="000000"/>
                <w:sz w:val="20"/>
                <w:szCs w:val="20"/>
              </w:rPr>
            </w:pPr>
            <w:r w:rsidRPr="001D3640">
              <w:rPr>
                <w:rFonts w:eastAsia="Times New Roman" w:cs="Times New Roman"/>
                <w:color w:val="000000"/>
                <w:sz w:val="20"/>
                <w:szCs w:val="20"/>
              </w:rPr>
              <w:t>2009</w:t>
            </w:r>
          </w:p>
        </w:tc>
        <w:tc>
          <w:tcPr>
            <w:tcW w:w="0" w:type="auto"/>
            <w:hideMark/>
          </w:tcPr>
          <w:p w:rsidR="00F51763" w:rsidRPr="001D3640" w:rsidRDefault="00F51763" w:rsidP="00F51763">
            <w:pPr>
              <w:rPr>
                <w:rFonts w:eastAsia="Times New Roman" w:cs="Times New Roman"/>
                <w:color w:val="000000"/>
                <w:sz w:val="20"/>
                <w:szCs w:val="20"/>
              </w:rPr>
            </w:pP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$50,000</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$1,300,000</w:t>
            </w:r>
          </w:p>
        </w:tc>
      </w:tr>
      <w:tr w:rsidR="00F51763" w:rsidRPr="001D3640" w:rsidTr="00CB5F50">
        <w:trPr>
          <w:jc w:val="center"/>
        </w:trPr>
        <w:tc>
          <w:tcPr>
            <w:tcW w:w="0" w:type="auto"/>
            <w:hideMark/>
          </w:tcPr>
          <w:p w:rsidR="00F51763" w:rsidRPr="001D3640" w:rsidRDefault="00CB5F50" w:rsidP="00F51763">
            <w:pPr>
              <w:rPr>
                <w:rFonts w:eastAsia="Times New Roman" w:cs="Times New Roman"/>
                <w:color w:val="000000"/>
                <w:sz w:val="20"/>
                <w:szCs w:val="20"/>
              </w:rPr>
            </w:pPr>
            <w:r w:rsidRPr="001D3640">
              <w:rPr>
                <w:rFonts w:eastAsia="Times New Roman" w:cs="Times New Roman"/>
                <w:color w:val="000000"/>
                <w:sz w:val="20"/>
                <w:szCs w:val="20"/>
              </w:rPr>
              <w:t>2010</w:t>
            </w:r>
          </w:p>
        </w:tc>
        <w:tc>
          <w:tcPr>
            <w:tcW w:w="0" w:type="auto"/>
            <w:hideMark/>
          </w:tcPr>
          <w:p w:rsidR="00F51763" w:rsidRPr="001D3640" w:rsidRDefault="00F51763" w:rsidP="00F51763">
            <w:pPr>
              <w:rPr>
                <w:rFonts w:eastAsia="Times New Roman" w:cs="Times New Roman"/>
                <w:color w:val="000000"/>
                <w:sz w:val="20"/>
                <w:szCs w:val="20"/>
              </w:rPr>
            </w:pP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$50,000</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$1,350,000</w:t>
            </w:r>
          </w:p>
        </w:tc>
      </w:tr>
      <w:tr w:rsidR="00F51763" w:rsidRPr="001D3640" w:rsidTr="001D3640">
        <w:trPr>
          <w:trHeight w:val="293"/>
          <w:jc w:val="center"/>
        </w:trPr>
        <w:tc>
          <w:tcPr>
            <w:tcW w:w="0" w:type="auto"/>
            <w:hideMark/>
          </w:tcPr>
          <w:p w:rsidR="00F51763" w:rsidRPr="001D3640" w:rsidRDefault="00CB5F50" w:rsidP="00F51763">
            <w:pPr>
              <w:rPr>
                <w:rFonts w:eastAsia="Times New Roman" w:cs="Times New Roman"/>
                <w:color w:val="000000"/>
                <w:sz w:val="20"/>
                <w:szCs w:val="20"/>
              </w:rPr>
            </w:pPr>
            <w:r w:rsidRPr="001D3640">
              <w:rPr>
                <w:rFonts w:eastAsia="Times New Roman" w:cs="Times New Roman"/>
                <w:color w:val="000000"/>
                <w:sz w:val="20"/>
                <w:szCs w:val="20"/>
              </w:rPr>
              <w:t>2011</w:t>
            </w:r>
          </w:p>
          <w:p w:rsidR="00CB5F50" w:rsidRPr="001D3640" w:rsidRDefault="00CB5F50" w:rsidP="00F51763">
            <w:pPr>
              <w:rPr>
                <w:rFonts w:eastAsia="Times New Roman" w:cs="Times New Roman"/>
                <w:color w:val="000000"/>
                <w:sz w:val="20"/>
                <w:szCs w:val="20"/>
              </w:rPr>
            </w:pPr>
          </w:p>
        </w:tc>
        <w:tc>
          <w:tcPr>
            <w:tcW w:w="0" w:type="auto"/>
            <w:hideMark/>
          </w:tcPr>
          <w:p w:rsidR="00F51763" w:rsidRPr="001D3640" w:rsidRDefault="00F51763" w:rsidP="00F51763">
            <w:pPr>
              <w:rPr>
                <w:rFonts w:eastAsia="Times New Roman" w:cs="Times New Roman"/>
                <w:color w:val="000000"/>
                <w:sz w:val="20"/>
                <w:szCs w:val="20"/>
              </w:rPr>
            </w:pP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$50,000</w:t>
            </w:r>
          </w:p>
        </w:tc>
        <w:tc>
          <w:tcPr>
            <w:tcW w:w="0" w:type="auto"/>
            <w:hideMark/>
          </w:tcPr>
          <w:p w:rsidR="00F51763" w:rsidRPr="001D3640" w:rsidRDefault="00F51763" w:rsidP="00F51763">
            <w:pPr>
              <w:rPr>
                <w:rFonts w:eastAsia="Times New Roman" w:cs="Times New Roman"/>
                <w:color w:val="000000"/>
                <w:sz w:val="20"/>
                <w:szCs w:val="20"/>
              </w:rPr>
            </w:pPr>
            <w:r w:rsidRPr="001D3640">
              <w:rPr>
                <w:rFonts w:eastAsia="Times New Roman" w:cs="Times New Roman"/>
                <w:color w:val="000000"/>
                <w:sz w:val="20"/>
                <w:szCs w:val="20"/>
              </w:rPr>
              <w:t>$1,400,000</w:t>
            </w:r>
          </w:p>
        </w:tc>
      </w:tr>
    </w:tbl>
    <w:p w:rsidR="00CB5F50" w:rsidRPr="00CB5F50" w:rsidRDefault="00CB5F50" w:rsidP="00F51763">
      <w:pPr>
        <w:rPr>
          <w:rFonts w:eastAsia="Times New Roman" w:cs="Times New Roman"/>
          <w:color w:val="000000"/>
          <w:szCs w:val="24"/>
        </w:rPr>
      </w:pPr>
    </w:p>
    <w:p w:rsidR="00F51763" w:rsidRPr="001D3640" w:rsidRDefault="00CB5F50" w:rsidP="00F51763">
      <w:pPr>
        <w:rPr>
          <w:rFonts w:eastAsia="Times New Roman" w:cs="Times New Roman"/>
          <w:color w:val="000000"/>
          <w:sz w:val="22"/>
        </w:rPr>
      </w:pPr>
      <w:r w:rsidRPr="001D3640">
        <w:rPr>
          <w:rFonts w:eastAsia="Times New Roman" w:cs="Times New Roman"/>
          <w:color w:val="000000"/>
          <w:sz w:val="22"/>
        </w:rPr>
        <w:t xml:space="preserve">For the purposes of this example, it is assumed the taxpayer's marginal income tax rate is 35%, that the account </w:t>
      </w:r>
      <w:r w:rsidR="00F51763" w:rsidRPr="001D3640">
        <w:rPr>
          <w:rFonts w:eastAsia="Times New Roman" w:cs="Times New Roman"/>
          <w:color w:val="000000"/>
          <w:sz w:val="22"/>
        </w:rPr>
        <w:t>does not have an investment in</w:t>
      </w:r>
      <w:r w:rsidRPr="001D3640">
        <w:rPr>
          <w:rFonts w:eastAsia="Times New Roman" w:cs="Times New Roman"/>
          <w:color w:val="000000"/>
          <w:sz w:val="22"/>
        </w:rPr>
        <w:t xml:space="preserve"> a passive foreign investment c</w:t>
      </w:r>
      <w:r w:rsidR="00F51763" w:rsidRPr="001D3640">
        <w:rPr>
          <w:rFonts w:eastAsia="Times New Roman" w:cs="Times New Roman"/>
          <w:color w:val="000000"/>
          <w:sz w:val="22"/>
        </w:rPr>
        <w:t xml:space="preserve">ompany (PFIC), </w:t>
      </w:r>
      <w:r w:rsidRPr="001D3640">
        <w:rPr>
          <w:rFonts w:eastAsia="Times New Roman" w:cs="Times New Roman"/>
          <w:color w:val="000000"/>
          <w:sz w:val="22"/>
        </w:rPr>
        <w:t xml:space="preserve">that the taxpayer </w:t>
      </w:r>
      <w:r w:rsidR="00F51763" w:rsidRPr="001D3640">
        <w:rPr>
          <w:rFonts w:eastAsia="Times New Roman" w:cs="Times New Roman"/>
          <w:color w:val="000000"/>
          <w:sz w:val="22"/>
        </w:rPr>
        <w:t>files a return but does not include the foreign account or the interest income on the return, and the maximum ap</w:t>
      </w:r>
      <w:r w:rsidRPr="001D3640">
        <w:rPr>
          <w:rFonts w:eastAsia="Times New Roman" w:cs="Times New Roman"/>
          <w:color w:val="000000"/>
          <w:sz w:val="22"/>
        </w:rPr>
        <w:t>plic</w:t>
      </w:r>
      <w:r w:rsidR="00573528">
        <w:rPr>
          <w:rFonts w:eastAsia="Times New Roman" w:cs="Times New Roman"/>
          <w:color w:val="000000"/>
          <w:sz w:val="22"/>
        </w:rPr>
        <w:t>able penalties would be</w:t>
      </w:r>
      <w:r w:rsidRPr="001D3640">
        <w:rPr>
          <w:rFonts w:eastAsia="Times New Roman" w:cs="Times New Roman"/>
          <w:color w:val="000000"/>
          <w:sz w:val="22"/>
        </w:rPr>
        <w:t xml:space="preserve"> imposed.</w:t>
      </w:r>
    </w:p>
    <w:p w:rsidR="00CB5F50" w:rsidRPr="001D3640" w:rsidRDefault="00CB5F50" w:rsidP="00F51763">
      <w:pPr>
        <w:rPr>
          <w:rFonts w:eastAsia="Times New Roman" w:cs="Times New Roman"/>
          <w:color w:val="000000"/>
          <w:sz w:val="22"/>
        </w:rPr>
      </w:pPr>
    </w:p>
    <w:p w:rsidR="00F51763" w:rsidRPr="001D3640" w:rsidRDefault="00CB5F50" w:rsidP="00573528">
      <w:pPr>
        <w:jc w:val="both"/>
        <w:rPr>
          <w:rFonts w:eastAsia="Times New Roman" w:cs="Times New Roman"/>
          <w:color w:val="000000"/>
          <w:sz w:val="22"/>
        </w:rPr>
      </w:pPr>
      <w:r w:rsidRPr="001D3640">
        <w:rPr>
          <w:rFonts w:eastAsia="Times New Roman" w:cs="Times New Roman"/>
          <w:color w:val="000000"/>
          <w:sz w:val="22"/>
        </w:rPr>
        <w:t>Under the 2012 OVDP the taxpayer would pay the following</w:t>
      </w:r>
      <w:r w:rsidR="00F51763" w:rsidRPr="001D3640">
        <w:rPr>
          <w:rFonts w:eastAsia="Times New Roman" w:cs="Times New Roman"/>
          <w:color w:val="000000"/>
          <w:sz w:val="22"/>
        </w:rPr>
        <w:t>:</w:t>
      </w:r>
    </w:p>
    <w:p w:rsidR="00CB5F50" w:rsidRPr="001D3640" w:rsidRDefault="00CB5F50" w:rsidP="00573528">
      <w:pPr>
        <w:jc w:val="both"/>
        <w:rPr>
          <w:rFonts w:eastAsia="Times New Roman" w:cs="Times New Roman"/>
          <w:color w:val="000000"/>
          <w:sz w:val="22"/>
        </w:rPr>
      </w:pPr>
    </w:p>
    <w:p w:rsidR="00F51763" w:rsidRPr="001D3640" w:rsidRDefault="00F51763" w:rsidP="00573528">
      <w:pPr>
        <w:numPr>
          <w:ilvl w:val="0"/>
          <w:numId w:val="12"/>
        </w:numPr>
        <w:ind w:left="300"/>
        <w:jc w:val="both"/>
        <w:rPr>
          <w:rFonts w:eastAsia="Times New Roman" w:cs="Times New Roman"/>
          <w:color w:val="000000"/>
          <w:sz w:val="22"/>
        </w:rPr>
      </w:pPr>
      <w:r w:rsidRPr="001D3640">
        <w:rPr>
          <w:rFonts w:eastAsia="Times New Roman" w:cs="Times New Roman"/>
          <w:color w:val="000000"/>
          <w:sz w:val="22"/>
        </w:rPr>
        <w:t>Tax of $140,000 (8 years at $17,500) plus interest,</w:t>
      </w:r>
    </w:p>
    <w:p w:rsidR="00F51763" w:rsidRPr="001D3640" w:rsidRDefault="00F51763" w:rsidP="00573528">
      <w:pPr>
        <w:numPr>
          <w:ilvl w:val="0"/>
          <w:numId w:val="12"/>
        </w:numPr>
        <w:ind w:left="300"/>
        <w:jc w:val="both"/>
        <w:rPr>
          <w:rFonts w:eastAsia="Times New Roman" w:cs="Times New Roman"/>
          <w:color w:val="000000"/>
          <w:sz w:val="22"/>
        </w:rPr>
      </w:pPr>
      <w:r w:rsidRPr="001D3640">
        <w:rPr>
          <w:rFonts w:eastAsia="Times New Roman" w:cs="Times New Roman"/>
          <w:color w:val="000000"/>
          <w:sz w:val="22"/>
        </w:rPr>
        <w:t>An accuracy-related penalty of $28,000 (i.e., $140,000 x 20%), and</w:t>
      </w:r>
    </w:p>
    <w:p w:rsidR="00F51763" w:rsidRPr="001D3640" w:rsidRDefault="00F51763" w:rsidP="00573528">
      <w:pPr>
        <w:numPr>
          <w:ilvl w:val="0"/>
          <w:numId w:val="12"/>
        </w:numPr>
        <w:ind w:left="300"/>
        <w:jc w:val="both"/>
        <w:rPr>
          <w:rFonts w:eastAsia="Times New Roman" w:cs="Times New Roman"/>
          <w:color w:val="000000"/>
          <w:sz w:val="22"/>
        </w:rPr>
      </w:pPr>
      <w:r w:rsidRPr="001D3640">
        <w:rPr>
          <w:rFonts w:eastAsia="Times New Roman" w:cs="Times New Roman"/>
          <w:color w:val="000000"/>
          <w:sz w:val="22"/>
        </w:rPr>
        <w:t>An additional penalty, in lieu of the FBAR and other potential penalties that may apply, of $385,000 (i.e., $1,400,000 x 27.5%).</w:t>
      </w:r>
    </w:p>
    <w:p w:rsidR="00CB5F50" w:rsidRPr="001D3640" w:rsidRDefault="00CB5F50" w:rsidP="00CB5F50">
      <w:pPr>
        <w:ind w:left="300"/>
        <w:rPr>
          <w:rFonts w:eastAsia="Times New Roman" w:cs="Times New Roman"/>
          <w:color w:val="000000"/>
          <w:sz w:val="22"/>
        </w:rPr>
      </w:pPr>
    </w:p>
    <w:p w:rsidR="00F51763" w:rsidRPr="001D3640" w:rsidRDefault="00CB5F50" w:rsidP="00573528">
      <w:pPr>
        <w:jc w:val="both"/>
        <w:rPr>
          <w:rFonts w:eastAsia="Times New Roman" w:cs="Times New Roman"/>
          <w:color w:val="000000"/>
          <w:sz w:val="22"/>
        </w:rPr>
      </w:pPr>
      <w:r w:rsidRPr="001D3640">
        <w:rPr>
          <w:rFonts w:eastAsia="Times New Roman" w:cs="Times New Roman"/>
          <w:color w:val="000000"/>
          <w:sz w:val="22"/>
        </w:rPr>
        <w:t>If the taxpayer</w:t>
      </w:r>
      <w:r w:rsidR="00F51763" w:rsidRPr="001D3640">
        <w:rPr>
          <w:rFonts w:eastAsia="Times New Roman" w:cs="Times New Roman"/>
          <w:color w:val="000000"/>
          <w:sz w:val="22"/>
        </w:rPr>
        <w:t xml:space="preserve"> did</w:t>
      </w:r>
      <w:r w:rsidR="00342B6C">
        <w:rPr>
          <w:rFonts w:eastAsia="Times New Roman" w:cs="Times New Roman"/>
          <w:color w:val="000000"/>
          <w:sz w:val="22"/>
        </w:rPr>
        <w:t xml:space="preserve"> not</w:t>
      </w:r>
      <w:r w:rsidR="00F51763" w:rsidRPr="001D3640">
        <w:rPr>
          <w:rFonts w:eastAsia="Times New Roman" w:cs="Times New Roman"/>
          <w:color w:val="000000"/>
          <w:sz w:val="22"/>
        </w:rPr>
        <w:t xml:space="preserve"> come forward, </w:t>
      </w:r>
      <w:r w:rsidRPr="001D3640">
        <w:rPr>
          <w:rFonts w:eastAsia="Times New Roman" w:cs="Times New Roman"/>
          <w:color w:val="000000"/>
          <w:sz w:val="22"/>
        </w:rPr>
        <w:t xml:space="preserve">he could </w:t>
      </w:r>
      <w:r w:rsidR="00F51763" w:rsidRPr="001D3640">
        <w:rPr>
          <w:rFonts w:eastAsia="Times New Roman" w:cs="Times New Roman"/>
          <w:color w:val="000000"/>
          <w:sz w:val="22"/>
        </w:rPr>
        <w:t xml:space="preserve">face up to $4,543,000 in tax, accuracy-related penalty, and FBAR penalty. </w:t>
      </w:r>
      <w:r w:rsidRPr="001D3640">
        <w:rPr>
          <w:rFonts w:eastAsia="Times New Roman" w:cs="Times New Roman"/>
          <w:color w:val="000000"/>
          <w:sz w:val="22"/>
        </w:rPr>
        <w:t xml:space="preserve">Additionally, taxpayer could be subject to criminal investigation and criminal prosecution.  </w:t>
      </w:r>
    </w:p>
    <w:p w:rsidR="00CB5F50" w:rsidRPr="001D3640" w:rsidRDefault="00CB5F50" w:rsidP="00573528">
      <w:pPr>
        <w:jc w:val="both"/>
        <w:rPr>
          <w:rFonts w:eastAsia="Times New Roman" w:cs="Times New Roman"/>
          <w:color w:val="000000"/>
          <w:sz w:val="22"/>
        </w:rPr>
      </w:pPr>
    </w:p>
    <w:p w:rsidR="00F51763" w:rsidRPr="001D3640" w:rsidRDefault="00F51763" w:rsidP="00573528">
      <w:pPr>
        <w:jc w:val="both"/>
        <w:rPr>
          <w:rFonts w:eastAsia="Times New Roman" w:cs="Times New Roman"/>
          <w:color w:val="000000"/>
          <w:sz w:val="22"/>
        </w:rPr>
      </w:pPr>
      <w:r w:rsidRPr="001D3640">
        <w:rPr>
          <w:rFonts w:eastAsia="Times New Roman" w:cs="Times New Roman"/>
          <w:color w:val="000000"/>
          <w:sz w:val="22"/>
        </w:rPr>
        <w:t>The civil liabilities outside the Offshore Voluntary Disclosure Program potentially include:</w:t>
      </w:r>
    </w:p>
    <w:p w:rsidR="00CB5F50" w:rsidRPr="001D3640" w:rsidRDefault="00CB5F50" w:rsidP="00573528">
      <w:pPr>
        <w:jc w:val="both"/>
        <w:rPr>
          <w:rFonts w:eastAsia="Times New Roman" w:cs="Times New Roman"/>
          <w:color w:val="000000"/>
          <w:sz w:val="22"/>
        </w:rPr>
      </w:pPr>
    </w:p>
    <w:p w:rsidR="00F51763" w:rsidRPr="001D3640" w:rsidRDefault="00F51763" w:rsidP="00573528">
      <w:pPr>
        <w:numPr>
          <w:ilvl w:val="0"/>
          <w:numId w:val="13"/>
        </w:numPr>
        <w:ind w:left="300"/>
        <w:jc w:val="both"/>
        <w:rPr>
          <w:rFonts w:eastAsia="Times New Roman" w:cs="Times New Roman"/>
          <w:color w:val="000000"/>
          <w:sz w:val="22"/>
        </w:rPr>
      </w:pPr>
      <w:r w:rsidRPr="001D3640">
        <w:rPr>
          <w:rFonts w:eastAsia="Times New Roman" w:cs="Times New Roman"/>
          <w:color w:val="000000"/>
          <w:sz w:val="22"/>
        </w:rPr>
        <w:t>The tax, accuracy-related penalties, and, if applicable, the failure to file and failure to pay penalties, plus interest, as described above,</w:t>
      </w:r>
    </w:p>
    <w:p w:rsidR="00F51763" w:rsidRPr="001D3640" w:rsidRDefault="00F51763" w:rsidP="00573528">
      <w:pPr>
        <w:numPr>
          <w:ilvl w:val="0"/>
          <w:numId w:val="13"/>
        </w:numPr>
        <w:ind w:left="300"/>
        <w:jc w:val="both"/>
        <w:rPr>
          <w:rFonts w:eastAsia="Times New Roman" w:cs="Times New Roman"/>
          <w:color w:val="000000"/>
          <w:sz w:val="22"/>
        </w:rPr>
      </w:pPr>
      <w:r w:rsidRPr="001D3640">
        <w:rPr>
          <w:rFonts w:eastAsia="Times New Roman" w:cs="Times New Roman"/>
          <w:color w:val="000000"/>
          <w:sz w:val="22"/>
        </w:rPr>
        <w:t>FBAR penalties totaling up to $3,825,000 for willful failures to file complete and correct FBARs (2</w:t>
      </w:r>
      <w:r w:rsidR="00CB5F50" w:rsidRPr="001D3640">
        <w:rPr>
          <w:rFonts w:eastAsia="Times New Roman" w:cs="Times New Roman"/>
          <w:color w:val="000000"/>
          <w:sz w:val="22"/>
        </w:rPr>
        <w:t>006 - $575,000, 2007 - $600,000, 2008 - $625,000, 2009 - $650,000, and 2010 - $675,000, and 2011</w:t>
      </w:r>
      <w:r w:rsidRPr="001D3640">
        <w:rPr>
          <w:rFonts w:eastAsia="Times New Roman" w:cs="Times New Roman"/>
          <w:color w:val="000000"/>
          <w:sz w:val="22"/>
        </w:rPr>
        <w:t xml:space="preserve"> - $700,000),</w:t>
      </w:r>
    </w:p>
    <w:p w:rsidR="00F51763" w:rsidRPr="001D3640" w:rsidRDefault="00F51763" w:rsidP="00573528">
      <w:pPr>
        <w:numPr>
          <w:ilvl w:val="0"/>
          <w:numId w:val="13"/>
        </w:numPr>
        <w:ind w:left="300"/>
        <w:jc w:val="both"/>
        <w:rPr>
          <w:rFonts w:eastAsia="Times New Roman" w:cs="Times New Roman"/>
          <w:color w:val="000000"/>
          <w:sz w:val="22"/>
        </w:rPr>
      </w:pPr>
      <w:r w:rsidRPr="001D3640">
        <w:rPr>
          <w:rFonts w:eastAsia="Times New Roman" w:cs="Times New Roman"/>
          <w:color w:val="000000"/>
          <w:sz w:val="22"/>
        </w:rPr>
        <w:t>The potential of having the fraud penalty (75 percent) apply, and</w:t>
      </w:r>
    </w:p>
    <w:p w:rsidR="00F51763" w:rsidRPr="001D3640" w:rsidRDefault="00F51763" w:rsidP="00573528">
      <w:pPr>
        <w:numPr>
          <w:ilvl w:val="0"/>
          <w:numId w:val="13"/>
        </w:numPr>
        <w:ind w:left="300"/>
        <w:jc w:val="both"/>
        <w:rPr>
          <w:rFonts w:eastAsia="Times New Roman" w:cs="Times New Roman"/>
          <w:color w:val="000000"/>
          <w:sz w:val="22"/>
        </w:rPr>
      </w:pPr>
      <w:r w:rsidRPr="001D3640">
        <w:rPr>
          <w:rFonts w:eastAsia="Times New Roman" w:cs="Times New Roman"/>
          <w:color w:val="000000"/>
          <w:sz w:val="22"/>
        </w:rPr>
        <w:t>The potential of substantial additional information return penalties if the foreign account or assets is held through a foreign entity such as a trust or corporation and required information returns were not filed.</w:t>
      </w:r>
    </w:p>
    <w:p w:rsidR="001D3640" w:rsidRPr="001D3640" w:rsidRDefault="001D3640" w:rsidP="00F51763">
      <w:pPr>
        <w:rPr>
          <w:rFonts w:eastAsia="Times New Roman" w:cs="Times New Roman"/>
          <w:color w:val="000000"/>
          <w:sz w:val="22"/>
        </w:rPr>
      </w:pPr>
    </w:p>
    <w:p w:rsidR="00F51763" w:rsidRDefault="001D3640" w:rsidP="00573528">
      <w:pPr>
        <w:jc w:val="both"/>
        <w:rPr>
          <w:rFonts w:eastAsia="Times New Roman" w:cs="Times New Roman"/>
          <w:color w:val="000000"/>
          <w:sz w:val="22"/>
        </w:rPr>
      </w:pPr>
      <w:r w:rsidRPr="001D3640">
        <w:rPr>
          <w:rFonts w:eastAsia="Times New Roman" w:cs="Times New Roman"/>
          <w:color w:val="000000"/>
          <w:sz w:val="22"/>
        </w:rPr>
        <w:t xml:space="preserve">Additionally, </w:t>
      </w:r>
      <w:r w:rsidR="00F51763" w:rsidRPr="001D3640">
        <w:rPr>
          <w:rFonts w:eastAsia="Times New Roman" w:cs="Times New Roman"/>
          <w:color w:val="000000"/>
          <w:sz w:val="22"/>
        </w:rPr>
        <w:t>if the fore</w:t>
      </w:r>
      <w:r w:rsidR="00CB5F50" w:rsidRPr="001D3640">
        <w:rPr>
          <w:rFonts w:eastAsia="Times New Roman" w:cs="Times New Roman"/>
          <w:color w:val="000000"/>
          <w:sz w:val="22"/>
        </w:rPr>
        <w:t>ign activity started before 2004</w:t>
      </w:r>
      <w:r w:rsidR="00F51763" w:rsidRPr="001D3640">
        <w:rPr>
          <w:rFonts w:eastAsia="Times New Roman" w:cs="Times New Roman"/>
          <w:color w:val="000000"/>
          <w:sz w:val="22"/>
        </w:rPr>
        <w:t xml:space="preserve">, the Service </w:t>
      </w:r>
      <w:r w:rsidR="00573528">
        <w:rPr>
          <w:rFonts w:eastAsia="Times New Roman" w:cs="Times New Roman"/>
          <w:color w:val="000000"/>
          <w:sz w:val="22"/>
        </w:rPr>
        <w:t>would be able to</w:t>
      </w:r>
      <w:r w:rsidR="00CB5F50" w:rsidRPr="001D3640">
        <w:rPr>
          <w:rFonts w:eastAsia="Times New Roman" w:cs="Times New Roman"/>
          <w:color w:val="000000"/>
          <w:sz w:val="22"/>
        </w:rPr>
        <w:t xml:space="preserve"> examine tax years prior to 2004</w:t>
      </w:r>
      <w:r w:rsidR="00F51763" w:rsidRPr="001D3640">
        <w:rPr>
          <w:rFonts w:eastAsia="Times New Roman" w:cs="Times New Roman"/>
          <w:color w:val="000000"/>
          <w:sz w:val="22"/>
        </w:rPr>
        <w:t xml:space="preserve"> if the taxpayer is not part of the OVDP.</w:t>
      </w:r>
    </w:p>
    <w:p w:rsidR="00BE3ADD" w:rsidRDefault="00BE3ADD" w:rsidP="00F51763">
      <w:pPr>
        <w:rPr>
          <w:rFonts w:eastAsia="Times New Roman" w:cs="Times New Roman"/>
          <w:color w:val="000000"/>
          <w:sz w:val="22"/>
        </w:rPr>
      </w:pPr>
    </w:p>
    <w:p w:rsidR="00BE3ADD" w:rsidRDefault="00BE3ADD" w:rsidP="00F51763">
      <w:pPr>
        <w:rPr>
          <w:rFonts w:eastAsia="Times New Roman" w:cs="Times New Roman"/>
          <w:b/>
          <w:color w:val="000000"/>
          <w:sz w:val="22"/>
        </w:rPr>
      </w:pPr>
      <w:r>
        <w:rPr>
          <w:rFonts w:eastAsia="Times New Roman" w:cs="Times New Roman"/>
          <w:b/>
          <w:color w:val="000000"/>
          <w:sz w:val="22"/>
        </w:rPr>
        <w:t xml:space="preserve">III. </w:t>
      </w:r>
      <w:r>
        <w:rPr>
          <w:rFonts w:eastAsia="Times New Roman" w:cs="Times New Roman"/>
          <w:b/>
          <w:color w:val="000000"/>
          <w:sz w:val="22"/>
        </w:rPr>
        <w:tab/>
        <w:t xml:space="preserve">SPECIAL PROGRAM FOR U.S. </w:t>
      </w:r>
      <w:r w:rsidR="00573528">
        <w:rPr>
          <w:rFonts w:eastAsia="Times New Roman" w:cs="Times New Roman"/>
          <w:b/>
          <w:color w:val="000000"/>
          <w:sz w:val="22"/>
        </w:rPr>
        <w:t xml:space="preserve">TAXPAYERS </w:t>
      </w:r>
      <w:r>
        <w:rPr>
          <w:rFonts w:eastAsia="Times New Roman" w:cs="Times New Roman"/>
          <w:b/>
          <w:color w:val="000000"/>
          <w:sz w:val="22"/>
        </w:rPr>
        <w:t>LIVING ABROAD</w:t>
      </w:r>
    </w:p>
    <w:p w:rsidR="0054124D" w:rsidRDefault="0054124D" w:rsidP="0054124D">
      <w:pPr>
        <w:rPr>
          <w:rFonts w:eastAsia="Times New Roman" w:cs="Times New Roman"/>
          <w:szCs w:val="24"/>
        </w:rPr>
      </w:pPr>
    </w:p>
    <w:tbl>
      <w:tblPr>
        <w:tblStyle w:val="TableGrid"/>
        <w:tblW w:w="0" w:type="auto"/>
        <w:tblInd w:w="18" w:type="dxa"/>
        <w:tblLook w:val="04A0"/>
      </w:tblPr>
      <w:tblGrid>
        <w:gridCol w:w="3060"/>
        <w:gridCol w:w="6498"/>
      </w:tblGrid>
      <w:tr w:rsidR="0054124D" w:rsidRPr="00A9326A" w:rsidTr="0054124D">
        <w:tc>
          <w:tcPr>
            <w:tcW w:w="9558" w:type="dxa"/>
            <w:gridSpan w:val="2"/>
            <w:shd w:val="clear" w:color="auto" w:fill="D9D9D9" w:themeFill="background1" w:themeFillShade="D9"/>
          </w:tcPr>
          <w:p w:rsidR="0054124D" w:rsidRDefault="0054124D" w:rsidP="0054124D">
            <w:pPr>
              <w:pStyle w:val="ListParagraph"/>
              <w:ind w:left="0"/>
              <w:jc w:val="center"/>
              <w:rPr>
                <w:rFonts w:eastAsia="Times New Roman" w:cs="Times New Roman"/>
                <w:b/>
                <w:szCs w:val="24"/>
              </w:rPr>
            </w:pPr>
          </w:p>
          <w:p w:rsidR="0054124D" w:rsidRDefault="0054124D" w:rsidP="0054124D">
            <w:pPr>
              <w:pStyle w:val="ListParagraph"/>
              <w:ind w:left="0"/>
              <w:jc w:val="center"/>
              <w:rPr>
                <w:rFonts w:eastAsia="Times New Roman" w:cs="Times New Roman"/>
                <w:b/>
                <w:szCs w:val="24"/>
              </w:rPr>
            </w:pPr>
            <w:r w:rsidRPr="00A9326A">
              <w:rPr>
                <w:rFonts w:eastAsia="Times New Roman" w:cs="Times New Roman"/>
                <w:b/>
                <w:szCs w:val="24"/>
              </w:rPr>
              <w:t xml:space="preserve">Summary of </w:t>
            </w:r>
            <w:r w:rsidR="00573528">
              <w:rPr>
                <w:rFonts w:eastAsia="Times New Roman" w:cs="Times New Roman"/>
                <w:b/>
                <w:szCs w:val="24"/>
              </w:rPr>
              <w:t>Program for Non-Resident U.S. Taxpayers</w:t>
            </w:r>
          </w:p>
          <w:p w:rsidR="0054124D" w:rsidRPr="00A9326A" w:rsidRDefault="0054124D" w:rsidP="0054124D">
            <w:pPr>
              <w:pStyle w:val="ListParagraph"/>
              <w:ind w:left="0"/>
              <w:jc w:val="center"/>
              <w:rPr>
                <w:rFonts w:eastAsia="Times New Roman" w:cs="Times New Roman"/>
                <w:b/>
                <w:szCs w:val="24"/>
              </w:rPr>
            </w:pPr>
          </w:p>
        </w:tc>
      </w:tr>
      <w:tr w:rsidR="0054124D" w:rsidRPr="00A9326A" w:rsidTr="0054124D">
        <w:tc>
          <w:tcPr>
            <w:tcW w:w="3060" w:type="dxa"/>
          </w:tcPr>
          <w:p w:rsidR="00573528" w:rsidRDefault="00573528" w:rsidP="0054124D">
            <w:pPr>
              <w:pStyle w:val="ListParagraph"/>
              <w:ind w:left="0"/>
              <w:rPr>
                <w:rFonts w:eastAsia="Times New Roman" w:cs="Times New Roman"/>
                <w:sz w:val="20"/>
                <w:szCs w:val="20"/>
              </w:rPr>
            </w:pPr>
          </w:p>
          <w:p w:rsidR="0054124D" w:rsidRPr="00573528" w:rsidRDefault="00573528" w:rsidP="0054124D">
            <w:pPr>
              <w:pStyle w:val="ListParagraph"/>
              <w:ind w:left="0"/>
              <w:rPr>
                <w:rFonts w:eastAsia="Times New Roman" w:cs="Times New Roman"/>
                <w:b/>
                <w:sz w:val="20"/>
                <w:szCs w:val="20"/>
              </w:rPr>
            </w:pPr>
            <w:r>
              <w:rPr>
                <w:rFonts w:eastAsia="Times New Roman" w:cs="Times New Roman"/>
                <w:b/>
                <w:sz w:val="20"/>
                <w:szCs w:val="20"/>
              </w:rPr>
              <w:t>Eligibility</w:t>
            </w:r>
          </w:p>
        </w:tc>
        <w:tc>
          <w:tcPr>
            <w:tcW w:w="6498" w:type="dxa"/>
          </w:tcPr>
          <w:p w:rsidR="00573528" w:rsidRDefault="00573528" w:rsidP="00573528">
            <w:pPr>
              <w:pStyle w:val="ListParagraph"/>
              <w:ind w:left="0"/>
              <w:jc w:val="both"/>
              <w:rPr>
                <w:rFonts w:cs="Times New Roman"/>
                <w:color w:val="000000"/>
                <w:sz w:val="20"/>
                <w:szCs w:val="20"/>
              </w:rPr>
            </w:pPr>
          </w:p>
          <w:p w:rsidR="0054124D" w:rsidRPr="00573528" w:rsidRDefault="007D4162" w:rsidP="00573528">
            <w:pPr>
              <w:pStyle w:val="ListParagraph"/>
              <w:ind w:left="0"/>
              <w:jc w:val="both"/>
              <w:rPr>
                <w:rFonts w:cs="Times New Roman"/>
                <w:color w:val="000000"/>
                <w:sz w:val="20"/>
                <w:szCs w:val="20"/>
              </w:rPr>
            </w:pPr>
            <w:r w:rsidRPr="00573528">
              <w:rPr>
                <w:rFonts w:cs="Times New Roman"/>
                <w:color w:val="000000"/>
                <w:sz w:val="20"/>
                <w:szCs w:val="20"/>
              </w:rPr>
              <w:t>This procedure is available for non-resident U.S. taxpayers who have resided outside of the U.S. since January 1, 2009 and who have not filed a U.S. tax return during the same period.</w:t>
            </w:r>
          </w:p>
          <w:p w:rsidR="0079209A" w:rsidRPr="00573528" w:rsidRDefault="0079209A" w:rsidP="00573528">
            <w:pPr>
              <w:pStyle w:val="ListParagraph"/>
              <w:ind w:left="0"/>
              <w:jc w:val="both"/>
              <w:rPr>
                <w:rFonts w:cs="Times New Roman"/>
                <w:color w:val="000000"/>
                <w:sz w:val="20"/>
                <w:szCs w:val="20"/>
              </w:rPr>
            </w:pPr>
          </w:p>
          <w:p w:rsidR="0079209A" w:rsidRPr="00573528" w:rsidRDefault="0079209A" w:rsidP="00573528">
            <w:pPr>
              <w:pStyle w:val="ListParagraph"/>
              <w:ind w:left="0"/>
              <w:jc w:val="both"/>
              <w:rPr>
                <w:rFonts w:cs="Times New Roman"/>
                <w:color w:val="000000"/>
                <w:sz w:val="20"/>
                <w:szCs w:val="20"/>
              </w:rPr>
            </w:pPr>
            <w:r w:rsidRPr="00573528">
              <w:rPr>
                <w:rFonts w:cs="Times New Roman"/>
                <w:color w:val="000000"/>
                <w:sz w:val="20"/>
                <w:szCs w:val="20"/>
              </w:rPr>
              <w:t>The only amended returns accepted through this program are those filed for the sole purpos</w:t>
            </w:r>
            <w:r w:rsidR="00342B6C">
              <w:rPr>
                <w:rFonts w:cs="Times New Roman"/>
                <w:color w:val="000000"/>
                <w:sz w:val="20"/>
                <w:szCs w:val="20"/>
              </w:rPr>
              <w:t>e of submitting late-filed Form</w:t>
            </w:r>
            <w:r w:rsidRPr="00573528">
              <w:rPr>
                <w:rFonts w:cs="Times New Roman"/>
                <w:color w:val="000000"/>
                <w:sz w:val="20"/>
                <w:szCs w:val="20"/>
              </w:rPr>
              <w:t xml:space="preserve"> 8891</w:t>
            </w:r>
            <w:r w:rsidR="00342B6C">
              <w:rPr>
                <w:rFonts w:cs="Times New Roman"/>
                <w:color w:val="000000"/>
                <w:sz w:val="20"/>
                <w:szCs w:val="20"/>
              </w:rPr>
              <w:t>s</w:t>
            </w:r>
            <w:r w:rsidRPr="00573528">
              <w:rPr>
                <w:rFonts w:cs="Times New Roman"/>
                <w:color w:val="000000"/>
                <w:sz w:val="20"/>
                <w:szCs w:val="20"/>
              </w:rPr>
              <w:t xml:space="preserve"> to seek relief for failure to timely elect deferral of income from certain retirement or savings plans where deferral is permitted by relevant treaty.</w:t>
            </w:r>
          </w:p>
          <w:p w:rsidR="00417AEA" w:rsidRPr="00573528" w:rsidRDefault="00417AEA" w:rsidP="00573528">
            <w:pPr>
              <w:pStyle w:val="ListParagraph"/>
              <w:ind w:left="0"/>
              <w:jc w:val="both"/>
              <w:rPr>
                <w:rFonts w:cs="Times New Roman"/>
                <w:color w:val="000000"/>
                <w:sz w:val="20"/>
                <w:szCs w:val="20"/>
              </w:rPr>
            </w:pPr>
          </w:p>
          <w:p w:rsidR="00417AEA" w:rsidRDefault="00417AEA" w:rsidP="00573528">
            <w:pPr>
              <w:pStyle w:val="ListParagraph"/>
              <w:ind w:left="0"/>
              <w:jc w:val="both"/>
              <w:rPr>
                <w:rFonts w:cs="Times New Roman"/>
                <w:color w:val="000000"/>
                <w:sz w:val="20"/>
                <w:szCs w:val="20"/>
              </w:rPr>
            </w:pPr>
            <w:r w:rsidRPr="00573528">
              <w:rPr>
                <w:rFonts w:cs="Times New Roman"/>
                <w:color w:val="000000"/>
                <w:sz w:val="20"/>
                <w:szCs w:val="20"/>
              </w:rPr>
              <w:t>Same general eligibility requirements as 2012 OVDP.</w:t>
            </w:r>
          </w:p>
          <w:p w:rsidR="00573528" w:rsidRPr="00A9326A" w:rsidRDefault="00573528" w:rsidP="00573528">
            <w:pPr>
              <w:pStyle w:val="ListParagraph"/>
              <w:ind w:left="0"/>
              <w:jc w:val="both"/>
              <w:rPr>
                <w:rFonts w:eastAsia="Times New Roman" w:cs="Times New Roman"/>
                <w:sz w:val="20"/>
                <w:szCs w:val="20"/>
              </w:rPr>
            </w:pPr>
          </w:p>
        </w:tc>
      </w:tr>
      <w:tr w:rsidR="004F2D76" w:rsidRPr="00A9326A" w:rsidTr="0054124D">
        <w:tc>
          <w:tcPr>
            <w:tcW w:w="3060" w:type="dxa"/>
          </w:tcPr>
          <w:p w:rsidR="004F2D76" w:rsidRDefault="004F2D76" w:rsidP="0054124D">
            <w:pPr>
              <w:pStyle w:val="ListParagraph"/>
              <w:ind w:left="0"/>
              <w:rPr>
                <w:rFonts w:eastAsia="Times New Roman" w:cs="Times New Roman"/>
                <w:sz w:val="20"/>
                <w:szCs w:val="20"/>
              </w:rPr>
            </w:pPr>
          </w:p>
          <w:p w:rsidR="00573528" w:rsidRPr="00573528" w:rsidRDefault="00573528" w:rsidP="0054124D">
            <w:pPr>
              <w:pStyle w:val="ListParagraph"/>
              <w:ind w:left="0"/>
              <w:rPr>
                <w:rFonts w:eastAsia="Times New Roman" w:cs="Times New Roman"/>
                <w:b/>
                <w:sz w:val="20"/>
                <w:szCs w:val="20"/>
              </w:rPr>
            </w:pPr>
            <w:r>
              <w:rPr>
                <w:rFonts w:eastAsia="Times New Roman" w:cs="Times New Roman"/>
                <w:b/>
                <w:sz w:val="20"/>
                <w:szCs w:val="20"/>
              </w:rPr>
              <w:t>Requirements</w:t>
            </w:r>
          </w:p>
        </w:tc>
        <w:tc>
          <w:tcPr>
            <w:tcW w:w="6498" w:type="dxa"/>
          </w:tcPr>
          <w:p w:rsidR="00573528" w:rsidRDefault="00573528" w:rsidP="004F2D76">
            <w:pPr>
              <w:rPr>
                <w:rFonts w:ascii="Arial" w:hAnsi="Arial" w:cs="Arial"/>
                <w:color w:val="000000"/>
                <w:sz w:val="20"/>
                <w:szCs w:val="20"/>
              </w:rPr>
            </w:pPr>
          </w:p>
          <w:p w:rsidR="004F2D76" w:rsidRPr="00573528" w:rsidRDefault="004F2D76" w:rsidP="00573528">
            <w:pPr>
              <w:pStyle w:val="ListParagraph"/>
              <w:ind w:left="0"/>
              <w:jc w:val="both"/>
              <w:rPr>
                <w:rFonts w:cs="Times New Roman"/>
                <w:color w:val="000000"/>
                <w:sz w:val="20"/>
                <w:szCs w:val="20"/>
              </w:rPr>
            </w:pPr>
            <w:r w:rsidRPr="00573528">
              <w:rPr>
                <w:rFonts w:cs="Times New Roman"/>
                <w:color w:val="000000"/>
                <w:sz w:val="20"/>
                <w:szCs w:val="20"/>
              </w:rPr>
              <w:t xml:space="preserve">1. File </w:t>
            </w:r>
            <w:r w:rsidR="00573528" w:rsidRPr="00573528">
              <w:rPr>
                <w:rFonts w:cs="Times New Roman"/>
                <w:color w:val="000000"/>
                <w:sz w:val="20"/>
                <w:szCs w:val="20"/>
              </w:rPr>
              <w:t xml:space="preserve">up to </w:t>
            </w:r>
            <w:r w:rsidRPr="00573528">
              <w:rPr>
                <w:rFonts w:cs="Times New Roman"/>
                <w:color w:val="000000"/>
                <w:sz w:val="20"/>
                <w:szCs w:val="20"/>
              </w:rPr>
              <w:t>three years of delinquent returns</w:t>
            </w:r>
          </w:p>
          <w:p w:rsidR="004F2D76" w:rsidRPr="00573528" w:rsidRDefault="004F2D76" w:rsidP="00573528">
            <w:pPr>
              <w:pStyle w:val="ListParagraph"/>
              <w:ind w:left="0"/>
              <w:jc w:val="both"/>
              <w:rPr>
                <w:rFonts w:cs="Times New Roman"/>
                <w:color w:val="000000"/>
                <w:sz w:val="20"/>
                <w:szCs w:val="20"/>
              </w:rPr>
            </w:pPr>
          </w:p>
          <w:p w:rsidR="004F2D76" w:rsidRPr="00573528" w:rsidRDefault="004F2D76" w:rsidP="00573528">
            <w:pPr>
              <w:pStyle w:val="ListParagraph"/>
              <w:ind w:left="0"/>
              <w:jc w:val="both"/>
              <w:rPr>
                <w:rFonts w:cs="Times New Roman"/>
                <w:color w:val="000000"/>
                <w:sz w:val="20"/>
                <w:szCs w:val="20"/>
              </w:rPr>
            </w:pPr>
            <w:r w:rsidRPr="00573528">
              <w:rPr>
                <w:rFonts w:cs="Times New Roman"/>
                <w:color w:val="000000"/>
                <w:sz w:val="20"/>
                <w:szCs w:val="20"/>
              </w:rPr>
              <w:t xml:space="preserve">2. File </w:t>
            </w:r>
            <w:r w:rsidR="00573528" w:rsidRPr="00573528">
              <w:rPr>
                <w:rFonts w:cs="Times New Roman"/>
                <w:color w:val="000000"/>
                <w:sz w:val="20"/>
                <w:szCs w:val="20"/>
              </w:rPr>
              <w:t xml:space="preserve">up to </w:t>
            </w:r>
            <w:r w:rsidRPr="00573528">
              <w:rPr>
                <w:rFonts w:cs="Times New Roman"/>
                <w:color w:val="000000"/>
                <w:sz w:val="20"/>
                <w:szCs w:val="20"/>
              </w:rPr>
              <w:t>six years of late FBARs.</w:t>
            </w:r>
          </w:p>
          <w:p w:rsidR="004F2D76" w:rsidRPr="00573528" w:rsidRDefault="004F2D76" w:rsidP="00573528">
            <w:pPr>
              <w:pStyle w:val="ListParagraph"/>
              <w:ind w:left="0"/>
              <w:jc w:val="both"/>
              <w:rPr>
                <w:rFonts w:cs="Times New Roman"/>
                <w:color w:val="000000"/>
                <w:sz w:val="20"/>
                <w:szCs w:val="20"/>
              </w:rPr>
            </w:pPr>
          </w:p>
          <w:p w:rsidR="004F2D76" w:rsidRPr="00573528" w:rsidRDefault="004F2D76" w:rsidP="00573528">
            <w:pPr>
              <w:pStyle w:val="ListParagraph"/>
              <w:ind w:left="0"/>
              <w:jc w:val="both"/>
              <w:rPr>
                <w:rFonts w:cs="Times New Roman"/>
                <w:color w:val="000000"/>
                <w:sz w:val="20"/>
                <w:szCs w:val="20"/>
              </w:rPr>
            </w:pPr>
            <w:r w:rsidRPr="00573528">
              <w:rPr>
                <w:rFonts w:cs="Times New Roman"/>
                <w:color w:val="000000"/>
                <w:sz w:val="20"/>
                <w:szCs w:val="20"/>
              </w:rPr>
              <w:t xml:space="preserve">3. </w:t>
            </w:r>
            <w:r w:rsidR="007D4162" w:rsidRPr="00573528">
              <w:rPr>
                <w:rFonts w:cs="Times New Roman"/>
                <w:color w:val="000000"/>
                <w:sz w:val="20"/>
                <w:szCs w:val="20"/>
              </w:rPr>
              <w:t>Payment of tax and interest with submission</w:t>
            </w:r>
          </w:p>
          <w:p w:rsidR="0079209A" w:rsidRPr="00573528" w:rsidRDefault="0079209A" w:rsidP="00573528">
            <w:pPr>
              <w:pStyle w:val="ListParagraph"/>
              <w:ind w:left="0"/>
              <w:jc w:val="both"/>
              <w:rPr>
                <w:rFonts w:cs="Times New Roman"/>
                <w:color w:val="000000"/>
                <w:sz w:val="20"/>
                <w:szCs w:val="20"/>
              </w:rPr>
            </w:pPr>
          </w:p>
          <w:p w:rsidR="0079209A" w:rsidRPr="00573528" w:rsidRDefault="0079209A" w:rsidP="00573528">
            <w:pPr>
              <w:pStyle w:val="ListParagraph"/>
              <w:ind w:left="0"/>
              <w:jc w:val="both"/>
              <w:rPr>
                <w:rFonts w:cs="Times New Roman"/>
                <w:color w:val="000000"/>
                <w:sz w:val="20"/>
                <w:szCs w:val="20"/>
              </w:rPr>
            </w:pPr>
            <w:r w:rsidRPr="00573528">
              <w:rPr>
                <w:rFonts w:cs="Times New Roman"/>
                <w:color w:val="000000"/>
                <w:sz w:val="20"/>
                <w:szCs w:val="20"/>
              </w:rPr>
              <w:t>4. Program Questionnaire.</w:t>
            </w:r>
          </w:p>
          <w:p w:rsidR="004F2D76" w:rsidRPr="004F2D76" w:rsidRDefault="004F2D76" w:rsidP="004F2D76">
            <w:pPr>
              <w:rPr>
                <w:rFonts w:ascii="Arial" w:hAnsi="Arial" w:cs="Arial"/>
                <w:color w:val="000000"/>
                <w:sz w:val="20"/>
                <w:szCs w:val="20"/>
              </w:rPr>
            </w:pPr>
          </w:p>
        </w:tc>
      </w:tr>
      <w:tr w:rsidR="007D4162" w:rsidRPr="00A9326A" w:rsidTr="0054124D">
        <w:tc>
          <w:tcPr>
            <w:tcW w:w="3060" w:type="dxa"/>
          </w:tcPr>
          <w:p w:rsidR="00573528" w:rsidRDefault="00573528" w:rsidP="0054124D">
            <w:pPr>
              <w:pStyle w:val="ListParagraph"/>
              <w:ind w:left="0"/>
              <w:rPr>
                <w:rFonts w:eastAsia="Times New Roman" w:cs="Times New Roman"/>
                <w:sz w:val="20"/>
                <w:szCs w:val="20"/>
              </w:rPr>
            </w:pPr>
          </w:p>
          <w:p w:rsidR="007D4162" w:rsidRPr="00573528" w:rsidRDefault="007D4162" w:rsidP="0054124D">
            <w:pPr>
              <w:pStyle w:val="ListParagraph"/>
              <w:ind w:left="0"/>
              <w:rPr>
                <w:rFonts w:eastAsia="Times New Roman" w:cs="Times New Roman"/>
                <w:b/>
                <w:sz w:val="20"/>
                <w:szCs w:val="20"/>
              </w:rPr>
            </w:pPr>
            <w:r w:rsidRPr="00573528">
              <w:rPr>
                <w:rFonts w:eastAsia="Times New Roman" w:cs="Times New Roman"/>
                <w:b/>
                <w:sz w:val="20"/>
                <w:szCs w:val="20"/>
              </w:rPr>
              <w:t>Compliance Risk Determination</w:t>
            </w:r>
          </w:p>
        </w:tc>
        <w:tc>
          <w:tcPr>
            <w:tcW w:w="6498" w:type="dxa"/>
          </w:tcPr>
          <w:p w:rsidR="00573528" w:rsidRDefault="00573528" w:rsidP="004F2D76">
            <w:pPr>
              <w:rPr>
                <w:rFonts w:ascii="Arial" w:hAnsi="Arial" w:cs="Arial"/>
                <w:color w:val="000000"/>
                <w:sz w:val="20"/>
                <w:szCs w:val="20"/>
              </w:rPr>
            </w:pPr>
          </w:p>
          <w:p w:rsidR="007D4162" w:rsidRPr="00573528" w:rsidRDefault="00342B6C" w:rsidP="00573528">
            <w:pPr>
              <w:jc w:val="both"/>
              <w:rPr>
                <w:rFonts w:cs="Times New Roman"/>
                <w:color w:val="000000"/>
                <w:sz w:val="20"/>
                <w:szCs w:val="20"/>
              </w:rPr>
            </w:pPr>
            <w:r>
              <w:rPr>
                <w:rFonts w:cs="Times New Roman"/>
                <w:color w:val="000000"/>
                <w:sz w:val="20"/>
                <w:szCs w:val="20"/>
              </w:rPr>
              <w:t>Program is only designed for those with a low compliance risk. Generally, a taxpayer will be deemed to have a low compliance risk</w:t>
            </w:r>
            <w:r w:rsidR="0079209A" w:rsidRPr="00573528">
              <w:rPr>
                <w:rFonts w:cs="Times New Roman"/>
                <w:color w:val="000000"/>
                <w:sz w:val="20"/>
                <w:szCs w:val="20"/>
              </w:rPr>
              <w:t xml:space="preserve"> if submitted returns show less then $1,500.00 in tax due for each of the years.</w:t>
            </w:r>
          </w:p>
          <w:p w:rsidR="0079209A" w:rsidRPr="00573528" w:rsidRDefault="0079209A" w:rsidP="00573528">
            <w:pPr>
              <w:shd w:val="clear" w:color="auto" w:fill="FFFFFF"/>
              <w:spacing w:before="225"/>
              <w:jc w:val="both"/>
              <w:rPr>
                <w:rFonts w:eastAsia="Times New Roman" w:cs="Times New Roman"/>
                <w:color w:val="000000"/>
                <w:sz w:val="20"/>
                <w:szCs w:val="20"/>
              </w:rPr>
            </w:pPr>
            <w:r w:rsidRPr="00573528">
              <w:rPr>
                <w:rFonts w:eastAsia="Times New Roman" w:cs="Times New Roman"/>
                <w:color w:val="000000"/>
                <w:sz w:val="20"/>
                <w:szCs w:val="20"/>
              </w:rPr>
              <w:t>The risk level may rise if any of the following are present:</w:t>
            </w:r>
          </w:p>
          <w:p w:rsidR="0079209A" w:rsidRPr="00573528" w:rsidRDefault="0079209A" w:rsidP="00573528">
            <w:pPr>
              <w:numPr>
                <w:ilvl w:val="0"/>
                <w:numId w:val="17"/>
              </w:numPr>
              <w:shd w:val="clear" w:color="auto" w:fill="FFFFFF"/>
              <w:ind w:left="450"/>
              <w:jc w:val="both"/>
              <w:rPr>
                <w:rFonts w:eastAsia="Times New Roman" w:cs="Times New Roman"/>
                <w:color w:val="000000"/>
                <w:sz w:val="20"/>
                <w:szCs w:val="20"/>
              </w:rPr>
            </w:pPr>
            <w:r w:rsidRPr="00573528">
              <w:rPr>
                <w:rFonts w:eastAsia="Times New Roman" w:cs="Times New Roman"/>
                <w:color w:val="000000"/>
                <w:sz w:val="20"/>
                <w:szCs w:val="20"/>
              </w:rPr>
              <w:t>If any of the returns submitted through this program claim a refund;</w:t>
            </w:r>
          </w:p>
          <w:p w:rsidR="0079209A" w:rsidRPr="00573528" w:rsidRDefault="0079209A" w:rsidP="00573528">
            <w:pPr>
              <w:numPr>
                <w:ilvl w:val="0"/>
                <w:numId w:val="17"/>
              </w:numPr>
              <w:shd w:val="clear" w:color="auto" w:fill="FFFFFF"/>
              <w:ind w:left="450"/>
              <w:jc w:val="both"/>
              <w:rPr>
                <w:rFonts w:eastAsia="Times New Roman" w:cs="Times New Roman"/>
                <w:color w:val="000000"/>
                <w:sz w:val="20"/>
                <w:szCs w:val="20"/>
              </w:rPr>
            </w:pPr>
            <w:r w:rsidRPr="00573528">
              <w:rPr>
                <w:rFonts w:eastAsia="Times New Roman" w:cs="Times New Roman"/>
                <w:color w:val="000000"/>
                <w:sz w:val="20"/>
                <w:szCs w:val="20"/>
              </w:rPr>
              <w:t>If there is material economic activity in the United States;</w:t>
            </w:r>
          </w:p>
          <w:p w:rsidR="0079209A" w:rsidRPr="00573528" w:rsidRDefault="0079209A" w:rsidP="00573528">
            <w:pPr>
              <w:numPr>
                <w:ilvl w:val="0"/>
                <w:numId w:val="17"/>
              </w:numPr>
              <w:shd w:val="clear" w:color="auto" w:fill="FFFFFF"/>
              <w:ind w:left="450"/>
              <w:jc w:val="both"/>
              <w:rPr>
                <w:rFonts w:eastAsia="Times New Roman" w:cs="Times New Roman"/>
                <w:color w:val="000000"/>
                <w:sz w:val="20"/>
                <w:szCs w:val="20"/>
              </w:rPr>
            </w:pPr>
            <w:r w:rsidRPr="00573528">
              <w:rPr>
                <w:rFonts w:eastAsia="Times New Roman" w:cs="Times New Roman"/>
                <w:color w:val="000000"/>
                <w:sz w:val="20"/>
                <w:szCs w:val="20"/>
              </w:rPr>
              <w:t>If the taxpayer has not declared all of his/her income in his/her country of residence;</w:t>
            </w:r>
          </w:p>
          <w:p w:rsidR="0079209A" w:rsidRPr="00573528" w:rsidRDefault="0079209A" w:rsidP="00573528">
            <w:pPr>
              <w:numPr>
                <w:ilvl w:val="0"/>
                <w:numId w:val="17"/>
              </w:numPr>
              <w:shd w:val="clear" w:color="auto" w:fill="FFFFFF"/>
              <w:ind w:left="450"/>
              <w:jc w:val="both"/>
              <w:rPr>
                <w:rFonts w:eastAsia="Times New Roman" w:cs="Times New Roman"/>
                <w:color w:val="000000"/>
                <w:sz w:val="20"/>
                <w:szCs w:val="20"/>
              </w:rPr>
            </w:pPr>
            <w:r w:rsidRPr="00573528">
              <w:rPr>
                <w:rFonts w:eastAsia="Times New Roman" w:cs="Times New Roman"/>
                <w:color w:val="000000"/>
                <w:sz w:val="20"/>
                <w:szCs w:val="20"/>
              </w:rPr>
              <w:t>If the taxpayer is under audit or investigation by the IRS;</w:t>
            </w:r>
          </w:p>
          <w:p w:rsidR="0079209A" w:rsidRPr="00573528" w:rsidRDefault="0079209A" w:rsidP="00573528">
            <w:pPr>
              <w:numPr>
                <w:ilvl w:val="0"/>
                <w:numId w:val="17"/>
              </w:numPr>
              <w:shd w:val="clear" w:color="auto" w:fill="FFFFFF"/>
              <w:ind w:left="450"/>
              <w:jc w:val="both"/>
              <w:rPr>
                <w:rFonts w:eastAsia="Times New Roman" w:cs="Times New Roman"/>
                <w:color w:val="000000"/>
                <w:sz w:val="20"/>
                <w:szCs w:val="20"/>
              </w:rPr>
            </w:pPr>
            <w:r w:rsidRPr="00573528">
              <w:rPr>
                <w:rFonts w:eastAsia="Times New Roman" w:cs="Times New Roman"/>
                <w:color w:val="000000"/>
                <w:sz w:val="20"/>
                <w:szCs w:val="20"/>
              </w:rPr>
              <w:t>If FBAR penalties have been previously assessed against the taxpayer or if the taxpayer has previously received an FBAR warning letter;</w:t>
            </w:r>
          </w:p>
          <w:p w:rsidR="0079209A" w:rsidRPr="00573528" w:rsidRDefault="0079209A" w:rsidP="00573528">
            <w:pPr>
              <w:numPr>
                <w:ilvl w:val="0"/>
                <w:numId w:val="17"/>
              </w:numPr>
              <w:shd w:val="clear" w:color="auto" w:fill="FFFFFF"/>
              <w:ind w:left="450"/>
              <w:jc w:val="both"/>
              <w:rPr>
                <w:rFonts w:eastAsia="Times New Roman" w:cs="Times New Roman"/>
                <w:color w:val="000000"/>
                <w:sz w:val="20"/>
                <w:szCs w:val="20"/>
              </w:rPr>
            </w:pPr>
            <w:r w:rsidRPr="00573528">
              <w:rPr>
                <w:rFonts w:eastAsia="Times New Roman" w:cs="Times New Roman"/>
                <w:color w:val="000000"/>
                <w:sz w:val="20"/>
                <w:szCs w:val="20"/>
              </w:rPr>
              <w:t>If the taxpayer has a financial interest or authority over a financial account(s) located outside his/her country of residence;</w:t>
            </w:r>
          </w:p>
          <w:p w:rsidR="0079209A" w:rsidRPr="00573528" w:rsidRDefault="0079209A" w:rsidP="00573528">
            <w:pPr>
              <w:numPr>
                <w:ilvl w:val="0"/>
                <w:numId w:val="17"/>
              </w:numPr>
              <w:shd w:val="clear" w:color="auto" w:fill="FFFFFF"/>
              <w:ind w:left="450"/>
              <w:jc w:val="both"/>
              <w:rPr>
                <w:rFonts w:eastAsia="Times New Roman" w:cs="Times New Roman"/>
                <w:color w:val="000000"/>
                <w:sz w:val="20"/>
                <w:szCs w:val="20"/>
              </w:rPr>
            </w:pPr>
            <w:r w:rsidRPr="00573528">
              <w:rPr>
                <w:rFonts w:eastAsia="Times New Roman" w:cs="Times New Roman"/>
                <w:color w:val="000000"/>
                <w:sz w:val="20"/>
                <w:szCs w:val="20"/>
              </w:rPr>
              <w:t>If the taxpayer has a financial interest in an entity or entities located outside his/her country of residence</w:t>
            </w:r>
          </w:p>
          <w:p w:rsidR="0079209A" w:rsidRPr="00573528" w:rsidRDefault="0079209A" w:rsidP="00573528">
            <w:pPr>
              <w:numPr>
                <w:ilvl w:val="0"/>
                <w:numId w:val="17"/>
              </w:numPr>
              <w:shd w:val="clear" w:color="auto" w:fill="FFFFFF"/>
              <w:ind w:left="450"/>
              <w:jc w:val="both"/>
              <w:rPr>
                <w:rFonts w:eastAsia="Times New Roman" w:cs="Times New Roman"/>
                <w:color w:val="000000"/>
                <w:sz w:val="20"/>
                <w:szCs w:val="20"/>
              </w:rPr>
            </w:pPr>
            <w:r w:rsidRPr="00573528">
              <w:rPr>
                <w:rFonts w:eastAsia="Times New Roman" w:cs="Times New Roman"/>
                <w:color w:val="000000"/>
                <w:sz w:val="20"/>
                <w:szCs w:val="20"/>
              </w:rPr>
              <w:t>If there is U.S. source income; or</w:t>
            </w:r>
          </w:p>
          <w:p w:rsidR="0079209A" w:rsidRPr="00573528" w:rsidRDefault="0079209A" w:rsidP="00573528">
            <w:pPr>
              <w:numPr>
                <w:ilvl w:val="0"/>
                <w:numId w:val="17"/>
              </w:numPr>
              <w:shd w:val="clear" w:color="auto" w:fill="FFFFFF"/>
              <w:ind w:left="450"/>
              <w:jc w:val="both"/>
              <w:rPr>
                <w:rFonts w:eastAsia="Times New Roman" w:cs="Times New Roman"/>
                <w:color w:val="000000"/>
                <w:sz w:val="20"/>
                <w:szCs w:val="20"/>
              </w:rPr>
            </w:pPr>
            <w:r w:rsidRPr="00573528">
              <w:rPr>
                <w:rFonts w:eastAsia="Times New Roman" w:cs="Times New Roman"/>
                <w:color w:val="000000"/>
                <w:sz w:val="20"/>
                <w:szCs w:val="20"/>
              </w:rPr>
              <w:t>If there are indications of sophisticated tax planning or avoidance.</w:t>
            </w:r>
          </w:p>
          <w:p w:rsidR="0079209A" w:rsidRPr="00573528" w:rsidRDefault="0079209A" w:rsidP="00573528">
            <w:pPr>
              <w:jc w:val="both"/>
              <w:rPr>
                <w:rFonts w:cs="Times New Roman"/>
                <w:color w:val="000000"/>
                <w:sz w:val="20"/>
                <w:szCs w:val="20"/>
              </w:rPr>
            </w:pPr>
          </w:p>
          <w:p w:rsidR="0079209A" w:rsidRDefault="0079209A" w:rsidP="004F2D76">
            <w:pPr>
              <w:rPr>
                <w:rFonts w:ascii="Arial" w:hAnsi="Arial" w:cs="Arial"/>
                <w:color w:val="000000"/>
                <w:sz w:val="20"/>
                <w:szCs w:val="20"/>
              </w:rPr>
            </w:pPr>
          </w:p>
        </w:tc>
      </w:tr>
      <w:tr w:rsidR="0079209A" w:rsidRPr="00A9326A" w:rsidTr="0054124D">
        <w:tc>
          <w:tcPr>
            <w:tcW w:w="3060" w:type="dxa"/>
          </w:tcPr>
          <w:p w:rsidR="00573528" w:rsidRDefault="00573528" w:rsidP="0054124D">
            <w:pPr>
              <w:pStyle w:val="ListParagraph"/>
              <w:ind w:left="0"/>
              <w:rPr>
                <w:rFonts w:eastAsia="Times New Roman" w:cs="Times New Roman"/>
                <w:sz w:val="20"/>
                <w:szCs w:val="20"/>
              </w:rPr>
            </w:pPr>
          </w:p>
          <w:p w:rsidR="0079209A" w:rsidRDefault="00573528" w:rsidP="0054124D">
            <w:pPr>
              <w:pStyle w:val="ListParagraph"/>
              <w:ind w:left="0"/>
              <w:rPr>
                <w:rFonts w:eastAsia="Times New Roman" w:cs="Times New Roman"/>
                <w:sz w:val="20"/>
                <w:szCs w:val="20"/>
              </w:rPr>
            </w:pPr>
            <w:r w:rsidRPr="00573528">
              <w:rPr>
                <w:rFonts w:eastAsia="Times New Roman" w:cs="Times New Roman"/>
                <w:b/>
                <w:sz w:val="20"/>
                <w:szCs w:val="20"/>
              </w:rPr>
              <w:t xml:space="preserve">Other </w:t>
            </w:r>
            <w:r w:rsidR="0079209A" w:rsidRPr="00573528">
              <w:rPr>
                <w:rFonts w:eastAsia="Times New Roman" w:cs="Times New Roman"/>
                <w:b/>
                <w:sz w:val="20"/>
                <w:szCs w:val="20"/>
              </w:rPr>
              <w:t>Considerations</w:t>
            </w:r>
          </w:p>
        </w:tc>
        <w:tc>
          <w:tcPr>
            <w:tcW w:w="6498" w:type="dxa"/>
          </w:tcPr>
          <w:p w:rsidR="00573528" w:rsidRDefault="00573528" w:rsidP="004F2D76">
            <w:pPr>
              <w:rPr>
                <w:rFonts w:ascii="Arial" w:hAnsi="Arial" w:cs="Arial"/>
                <w:color w:val="000000"/>
                <w:sz w:val="20"/>
                <w:szCs w:val="20"/>
              </w:rPr>
            </w:pPr>
          </w:p>
          <w:p w:rsidR="0079209A" w:rsidRPr="00573528" w:rsidRDefault="00417AEA" w:rsidP="00573528">
            <w:pPr>
              <w:jc w:val="both"/>
              <w:rPr>
                <w:rFonts w:cs="Times New Roman"/>
                <w:color w:val="000000"/>
                <w:sz w:val="20"/>
                <w:szCs w:val="20"/>
              </w:rPr>
            </w:pPr>
            <w:r w:rsidRPr="00573528">
              <w:rPr>
                <w:rFonts w:cs="Times New Roman"/>
                <w:color w:val="000000"/>
                <w:sz w:val="20"/>
                <w:szCs w:val="20"/>
              </w:rPr>
              <w:t>Does not provide guarantee of protection from criminal prosecution</w:t>
            </w:r>
          </w:p>
          <w:p w:rsidR="00573528" w:rsidRDefault="00573528" w:rsidP="004F2D76">
            <w:pPr>
              <w:rPr>
                <w:rFonts w:ascii="Arial" w:hAnsi="Arial" w:cs="Arial"/>
                <w:color w:val="000000"/>
                <w:sz w:val="20"/>
                <w:szCs w:val="20"/>
              </w:rPr>
            </w:pPr>
          </w:p>
        </w:tc>
      </w:tr>
    </w:tbl>
    <w:p w:rsidR="00CC35CC" w:rsidRPr="003A2605" w:rsidRDefault="002E7A8F" w:rsidP="002E7A8F">
      <w:pPr>
        <w:ind w:left="1800" w:firstLine="360"/>
        <w:rPr>
          <w:rFonts w:eastAsia="Times New Roman" w:cs="Times New Roman"/>
          <w:szCs w:val="24"/>
        </w:rPr>
      </w:pPr>
      <w:r>
        <w:rPr>
          <w:rFonts w:eastAsia="Times New Roman" w:cs="Times New Roman"/>
          <w:szCs w:val="24"/>
        </w:rPr>
        <w:t xml:space="preserve">  </w:t>
      </w:r>
    </w:p>
    <w:sectPr w:rsidR="00CC35CC" w:rsidRPr="003A2605" w:rsidSect="00C04C4F">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95C" w:rsidRDefault="002A595C" w:rsidP="006D6703">
      <w:r>
        <w:separator/>
      </w:r>
    </w:p>
  </w:endnote>
  <w:endnote w:type="continuationSeparator" w:id="0">
    <w:p w:rsidR="002A595C" w:rsidRDefault="002A595C" w:rsidP="006D6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BA" w:rsidRDefault="00E04A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6777"/>
      <w:docPartObj>
        <w:docPartGallery w:val="Page Numbers (Bottom of Page)"/>
        <w:docPartUnique/>
      </w:docPartObj>
    </w:sdtPr>
    <w:sdtContent>
      <w:p w:rsidR="00E04ABA" w:rsidRDefault="00BE0148">
        <w:pPr>
          <w:pStyle w:val="Footer"/>
          <w:jc w:val="center"/>
        </w:pPr>
        <w:r w:rsidRPr="00E04ABA">
          <w:rPr>
            <w:sz w:val="22"/>
          </w:rPr>
          <w:fldChar w:fldCharType="begin"/>
        </w:r>
        <w:r w:rsidRPr="00E04ABA">
          <w:rPr>
            <w:sz w:val="22"/>
          </w:rPr>
          <w:instrText xml:space="preserve"> PAGE   \* MERGEFORMAT </w:instrText>
        </w:r>
        <w:r w:rsidRPr="00E04ABA">
          <w:rPr>
            <w:sz w:val="22"/>
          </w:rPr>
          <w:fldChar w:fldCharType="separate"/>
        </w:r>
        <w:r w:rsidR="00E04ABA">
          <w:rPr>
            <w:noProof/>
            <w:sz w:val="22"/>
          </w:rPr>
          <w:t>2</w:t>
        </w:r>
        <w:r w:rsidRPr="00E04ABA">
          <w:rPr>
            <w:sz w:val="22"/>
          </w:rPr>
          <w:fldChar w:fldCharType="end"/>
        </w:r>
      </w:p>
      <w:p w:rsidR="002A595C" w:rsidRPr="00B573CD" w:rsidRDefault="00E04ABA" w:rsidP="00E04ABA">
        <w:pPr>
          <w:pStyle w:val="Footer"/>
        </w:pPr>
        <w:r w:rsidRPr="00E04ABA">
          <w:rPr>
            <w:noProof/>
            <w:sz w:val="12"/>
          </w:rPr>
          <w:t>{WC591912.1  }</w:t>
        </w:r>
      </w:p>
    </w:sdtContent>
  </w:sdt>
  <w:p w:rsidR="002A595C" w:rsidRPr="00B573CD" w:rsidRDefault="002A59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3CD" w:rsidRPr="00B573CD" w:rsidRDefault="00E04ABA">
    <w:pPr>
      <w:pStyle w:val="Footer"/>
    </w:pPr>
    <w:r w:rsidRPr="00E04ABA">
      <w:rPr>
        <w:noProof/>
        <w:sz w:val="12"/>
      </w:rPr>
      <w:t>{WC591912.1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95C" w:rsidRDefault="002A595C" w:rsidP="006D6703">
      <w:pPr>
        <w:rPr>
          <w:noProof/>
        </w:rPr>
      </w:pPr>
      <w:r>
        <w:rPr>
          <w:noProof/>
        </w:rPr>
        <w:separator/>
      </w:r>
    </w:p>
  </w:footnote>
  <w:footnote w:type="continuationSeparator" w:id="0">
    <w:p w:rsidR="002A595C" w:rsidRDefault="002A595C" w:rsidP="006D6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BA" w:rsidRDefault="00E04A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BA" w:rsidRDefault="00E04A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BA" w:rsidRDefault="00E04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2C0"/>
    <w:multiLevelType w:val="multilevel"/>
    <w:tmpl w:val="AEC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00B75"/>
    <w:multiLevelType w:val="hybridMultilevel"/>
    <w:tmpl w:val="94AC2F1A"/>
    <w:lvl w:ilvl="0" w:tplc="8236DD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D578BF"/>
    <w:multiLevelType w:val="hybridMultilevel"/>
    <w:tmpl w:val="5FDAA9AA"/>
    <w:lvl w:ilvl="0" w:tplc="C226D9A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26B2221"/>
    <w:multiLevelType w:val="hybridMultilevel"/>
    <w:tmpl w:val="2438E22E"/>
    <w:lvl w:ilvl="0" w:tplc="42DC65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71946"/>
    <w:multiLevelType w:val="hybridMultilevel"/>
    <w:tmpl w:val="5018207E"/>
    <w:lvl w:ilvl="0" w:tplc="6D024EC6">
      <w:start w:val="1"/>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317AA"/>
    <w:multiLevelType w:val="hybridMultilevel"/>
    <w:tmpl w:val="2FE0184C"/>
    <w:lvl w:ilvl="0" w:tplc="00E236A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7D3097F"/>
    <w:multiLevelType w:val="hybridMultilevel"/>
    <w:tmpl w:val="F9468AAC"/>
    <w:lvl w:ilvl="0" w:tplc="703297C8">
      <w:start w:val="1"/>
      <w:numFmt w:val="upperLetter"/>
      <w:lvlText w:val="%1."/>
      <w:lvlJc w:val="left"/>
      <w:pPr>
        <w:ind w:left="720" w:hanging="360"/>
      </w:pPr>
      <w:rPr>
        <w:rFonts w:eastAsiaTheme="minorHAnsi" w:cstheme="minorBidi" w:hint="default"/>
      </w:rPr>
    </w:lvl>
    <w:lvl w:ilvl="1" w:tplc="04090019">
      <w:start w:val="1"/>
      <w:numFmt w:val="lowerLetter"/>
      <w:lvlText w:val="%2."/>
      <w:lvlJc w:val="left"/>
      <w:pPr>
        <w:ind w:left="1440" w:hanging="360"/>
      </w:pPr>
    </w:lvl>
    <w:lvl w:ilvl="2" w:tplc="95964AB6">
      <w:start w:val="1"/>
      <w:numFmt w:val="decimal"/>
      <w:lvlText w:val="%3."/>
      <w:lvlJc w:val="left"/>
      <w:pPr>
        <w:ind w:left="2340" w:hanging="360"/>
      </w:pPr>
      <w:rPr>
        <w:rFonts w:hint="default"/>
      </w:rPr>
    </w:lvl>
    <w:lvl w:ilvl="3" w:tplc="60CE4EB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E63F9D"/>
    <w:multiLevelType w:val="hybridMultilevel"/>
    <w:tmpl w:val="7A42BFC0"/>
    <w:lvl w:ilvl="0" w:tplc="182C9D4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2D96857"/>
    <w:multiLevelType w:val="hybridMultilevel"/>
    <w:tmpl w:val="CED43B3E"/>
    <w:lvl w:ilvl="0" w:tplc="CFD00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C80704"/>
    <w:multiLevelType w:val="hybridMultilevel"/>
    <w:tmpl w:val="6C84A08C"/>
    <w:lvl w:ilvl="0" w:tplc="8E024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E05140"/>
    <w:multiLevelType w:val="hybridMultilevel"/>
    <w:tmpl w:val="0242047A"/>
    <w:lvl w:ilvl="0" w:tplc="643025A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DB5541"/>
    <w:multiLevelType w:val="multilevel"/>
    <w:tmpl w:val="B3B6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80EB3"/>
    <w:multiLevelType w:val="multilevel"/>
    <w:tmpl w:val="4CA4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C271BB"/>
    <w:multiLevelType w:val="hybridMultilevel"/>
    <w:tmpl w:val="B5307A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E47779"/>
    <w:multiLevelType w:val="hybridMultilevel"/>
    <w:tmpl w:val="EC8C4FF0"/>
    <w:lvl w:ilvl="0" w:tplc="A3326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9018E3"/>
    <w:multiLevelType w:val="hybridMultilevel"/>
    <w:tmpl w:val="AC32A8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D9050F"/>
    <w:multiLevelType w:val="hybridMultilevel"/>
    <w:tmpl w:val="62C0E0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9A01E1"/>
    <w:multiLevelType w:val="hybridMultilevel"/>
    <w:tmpl w:val="A858B5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7B0522"/>
    <w:multiLevelType w:val="hybridMultilevel"/>
    <w:tmpl w:val="4A2E36B0"/>
    <w:lvl w:ilvl="0" w:tplc="A68615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772BCE"/>
    <w:multiLevelType w:val="hybridMultilevel"/>
    <w:tmpl w:val="25C8DA8E"/>
    <w:lvl w:ilvl="0" w:tplc="75E0AB04">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7"/>
  </w:num>
  <w:num w:numId="2">
    <w:abstractNumId w:val="6"/>
  </w:num>
  <w:num w:numId="3">
    <w:abstractNumId w:val="16"/>
  </w:num>
  <w:num w:numId="4">
    <w:abstractNumId w:val="10"/>
  </w:num>
  <w:num w:numId="5">
    <w:abstractNumId w:val="15"/>
  </w:num>
  <w:num w:numId="6">
    <w:abstractNumId w:val="18"/>
  </w:num>
  <w:num w:numId="7">
    <w:abstractNumId w:val="5"/>
  </w:num>
  <w:num w:numId="8">
    <w:abstractNumId w:val="19"/>
  </w:num>
  <w:num w:numId="9">
    <w:abstractNumId w:val="14"/>
  </w:num>
  <w:num w:numId="10">
    <w:abstractNumId w:val="9"/>
  </w:num>
  <w:num w:numId="11">
    <w:abstractNumId w:val="8"/>
  </w:num>
  <w:num w:numId="12">
    <w:abstractNumId w:val="11"/>
  </w:num>
  <w:num w:numId="13">
    <w:abstractNumId w:val="0"/>
  </w:num>
  <w:num w:numId="14">
    <w:abstractNumId w:val="2"/>
  </w:num>
  <w:num w:numId="15">
    <w:abstractNumId w:val="4"/>
  </w:num>
  <w:num w:numId="16">
    <w:abstractNumId w:val="1"/>
  </w:num>
  <w:num w:numId="17">
    <w:abstractNumId w:val="12"/>
  </w:num>
  <w:num w:numId="18">
    <w:abstractNumId w:val="13"/>
  </w:num>
  <w:num w:numId="19">
    <w:abstractNumId w:val="3"/>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F01D3"/>
    <w:rsid w:val="00006D44"/>
    <w:rsid w:val="000217EB"/>
    <w:rsid w:val="00032890"/>
    <w:rsid w:val="00036243"/>
    <w:rsid w:val="00042879"/>
    <w:rsid w:val="000433C9"/>
    <w:rsid w:val="00047EBF"/>
    <w:rsid w:val="00054CB8"/>
    <w:rsid w:val="000654A1"/>
    <w:rsid w:val="000858AA"/>
    <w:rsid w:val="00095E4C"/>
    <w:rsid w:val="000A3F75"/>
    <w:rsid w:val="000A7072"/>
    <w:rsid w:val="000C00D4"/>
    <w:rsid w:val="000C0846"/>
    <w:rsid w:val="000D2E33"/>
    <w:rsid w:val="000D3DC3"/>
    <w:rsid w:val="0010503A"/>
    <w:rsid w:val="00106306"/>
    <w:rsid w:val="00120A4B"/>
    <w:rsid w:val="00123E8C"/>
    <w:rsid w:val="00124736"/>
    <w:rsid w:val="00133A60"/>
    <w:rsid w:val="001371E8"/>
    <w:rsid w:val="001401DB"/>
    <w:rsid w:val="001448C7"/>
    <w:rsid w:val="00144A82"/>
    <w:rsid w:val="00164643"/>
    <w:rsid w:val="001653D8"/>
    <w:rsid w:val="001663BF"/>
    <w:rsid w:val="001731F6"/>
    <w:rsid w:val="0017348D"/>
    <w:rsid w:val="00175429"/>
    <w:rsid w:val="001755CC"/>
    <w:rsid w:val="0018433E"/>
    <w:rsid w:val="00191FE5"/>
    <w:rsid w:val="00196552"/>
    <w:rsid w:val="001A3558"/>
    <w:rsid w:val="001A3C56"/>
    <w:rsid w:val="001A5990"/>
    <w:rsid w:val="001A6855"/>
    <w:rsid w:val="001B01AF"/>
    <w:rsid w:val="001B1D40"/>
    <w:rsid w:val="001C072F"/>
    <w:rsid w:val="001C24E8"/>
    <w:rsid w:val="001C35D9"/>
    <w:rsid w:val="001C552F"/>
    <w:rsid w:val="001C5FCB"/>
    <w:rsid w:val="001C6D94"/>
    <w:rsid w:val="001D31EC"/>
    <w:rsid w:val="001D3640"/>
    <w:rsid w:val="001D5E01"/>
    <w:rsid w:val="001D6D7D"/>
    <w:rsid w:val="001E0A69"/>
    <w:rsid w:val="001E1692"/>
    <w:rsid w:val="001E7231"/>
    <w:rsid w:val="001F070D"/>
    <w:rsid w:val="001F7D8A"/>
    <w:rsid w:val="00201B91"/>
    <w:rsid w:val="002050B2"/>
    <w:rsid w:val="00205D59"/>
    <w:rsid w:val="0020636C"/>
    <w:rsid w:val="00215F55"/>
    <w:rsid w:val="00220C89"/>
    <w:rsid w:val="00222DD1"/>
    <w:rsid w:val="002270A7"/>
    <w:rsid w:val="0024044F"/>
    <w:rsid w:val="00247E4F"/>
    <w:rsid w:val="00252D97"/>
    <w:rsid w:val="00272575"/>
    <w:rsid w:val="00277DDE"/>
    <w:rsid w:val="00280A1F"/>
    <w:rsid w:val="00280FAB"/>
    <w:rsid w:val="00286051"/>
    <w:rsid w:val="0029007F"/>
    <w:rsid w:val="002965F4"/>
    <w:rsid w:val="002A0FEC"/>
    <w:rsid w:val="002A595C"/>
    <w:rsid w:val="002B3FA5"/>
    <w:rsid w:val="002B4918"/>
    <w:rsid w:val="002D5647"/>
    <w:rsid w:val="002D73B0"/>
    <w:rsid w:val="002E71F3"/>
    <w:rsid w:val="002E7A8F"/>
    <w:rsid w:val="002F459B"/>
    <w:rsid w:val="00302E6C"/>
    <w:rsid w:val="003044BD"/>
    <w:rsid w:val="00304BFE"/>
    <w:rsid w:val="003170BB"/>
    <w:rsid w:val="003244B7"/>
    <w:rsid w:val="00325CCF"/>
    <w:rsid w:val="003317F6"/>
    <w:rsid w:val="00342B6C"/>
    <w:rsid w:val="00347585"/>
    <w:rsid w:val="003511E4"/>
    <w:rsid w:val="003571D1"/>
    <w:rsid w:val="0036184F"/>
    <w:rsid w:val="0036221D"/>
    <w:rsid w:val="0036350F"/>
    <w:rsid w:val="00363CDA"/>
    <w:rsid w:val="0036543E"/>
    <w:rsid w:val="003733E6"/>
    <w:rsid w:val="00375C53"/>
    <w:rsid w:val="003775A0"/>
    <w:rsid w:val="00382396"/>
    <w:rsid w:val="0038562B"/>
    <w:rsid w:val="003868FC"/>
    <w:rsid w:val="00393333"/>
    <w:rsid w:val="003A0FF3"/>
    <w:rsid w:val="003A2605"/>
    <w:rsid w:val="003A3C90"/>
    <w:rsid w:val="003A584D"/>
    <w:rsid w:val="003A6C85"/>
    <w:rsid w:val="003A79EF"/>
    <w:rsid w:val="003B149A"/>
    <w:rsid w:val="003B1731"/>
    <w:rsid w:val="003B4166"/>
    <w:rsid w:val="003C4CBB"/>
    <w:rsid w:val="003C6F46"/>
    <w:rsid w:val="003E4AC8"/>
    <w:rsid w:val="003E77FF"/>
    <w:rsid w:val="00412AD4"/>
    <w:rsid w:val="00417AEA"/>
    <w:rsid w:val="00432552"/>
    <w:rsid w:val="004353E8"/>
    <w:rsid w:val="00443445"/>
    <w:rsid w:val="00447C56"/>
    <w:rsid w:val="00457254"/>
    <w:rsid w:val="00461EBD"/>
    <w:rsid w:val="00462052"/>
    <w:rsid w:val="004633E2"/>
    <w:rsid w:val="00466CEB"/>
    <w:rsid w:val="00476294"/>
    <w:rsid w:val="00484962"/>
    <w:rsid w:val="00496D15"/>
    <w:rsid w:val="004A0281"/>
    <w:rsid w:val="004A5662"/>
    <w:rsid w:val="004B0DAF"/>
    <w:rsid w:val="004C213A"/>
    <w:rsid w:val="004C4B46"/>
    <w:rsid w:val="004D1393"/>
    <w:rsid w:val="004D19A8"/>
    <w:rsid w:val="004D32E0"/>
    <w:rsid w:val="004E03BE"/>
    <w:rsid w:val="004F01D3"/>
    <w:rsid w:val="004F2D76"/>
    <w:rsid w:val="004F77D4"/>
    <w:rsid w:val="00515114"/>
    <w:rsid w:val="00515B4B"/>
    <w:rsid w:val="00520ACF"/>
    <w:rsid w:val="00522229"/>
    <w:rsid w:val="0054124D"/>
    <w:rsid w:val="00573528"/>
    <w:rsid w:val="005766B7"/>
    <w:rsid w:val="005806E1"/>
    <w:rsid w:val="005924DD"/>
    <w:rsid w:val="00593F31"/>
    <w:rsid w:val="005961AE"/>
    <w:rsid w:val="005A6424"/>
    <w:rsid w:val="005B0542"/>
    <w:rsid w:val="005B1F1B"/>
    <w:rsid w:val="005B4BF4"/>
    <w:rsid w:val="005B5439"/>
    <w:rsid w:val="005B7481"/>
    <w:rsid w:val="005C1DDA"/>
    <w:rsid w:val="005C229D"/>
    <w:rsid w:val="005D20FD"/>
    <w:rsid w:val="005E4DA1"/>
    <w:rsid w:val="005E783D"/>
    <w:rsid w:val="00605B06"/>
    <w:rsid w:val="00605D10"/>
    <w:rsid w:val="00606FCA"/>
    <w:rsid w:val="00615AE0"/>
    <w:rsid w:val="00615E34"/>
    <w:rsid w:val="00624755"/>
    <w:rsid w:val="006371FC"/>
    <w:rsid w:val="00646298"/>
    <w:rsid w:val="00647C42"/>
    <w:rsid w:val="00656077"/>
    <w:rsid w:val="006702BF"/>
    <w:rsid w:val="00671FFA"/>
    <w:rsid w:val="00675047"/>
    <w:rsid w:val="00675087"/>
    <w:rsid w:val="00677529"/>
    <w:rsid w:val="006876B4"/>
    <w:rsid w:val="006923C3"/>
    <w:rsid w:val="006A15FC"/>
    <w:rsid w:val="006A4519"/>
    <w:rsid w:val="006A4FB0"/>
    <w:rsid w:val="006A5E61"/>
    <w:rsid w:val="006B0657"/>
    <w:rsid w:val="006C09FD"/>
    <w:rsid w:val="006C13DE"/>
    <w:rsid w:val="006D626D"/>
    <w:rsid w:val="006D6703"/>
    <w:rsid w:val="006E30C6"/>
    <w:rsid w:val="006E31A3"/>
    <w:rsid w:val="006E7530"/>
    <w:rsid w:val="006F5E4E"/>
    <w:rsid w:val="00702680"/>
    <w:rsid w:val="007123E0"/>
    <w:rsid w:val="0072535C"/>
    <w:rsid w:val="00726972"/>
    <w:rsid w:val="007307F6"/>
    <w:rsid w:val="00730883"/>
    <w:rsid w:val="00730D09"/>
    <w:rsid w:val="007312EE"/>
    <w:rsid w:val="00740E6C"/>
    <w:rsid w:val="00743270"/>
    <w:rsid w:val="00746DF6"/>
    <w:rsid w:val="00750DEF"/>
    <w:rsid w:val="0075248A"/>
    <w:rsid w:val="00752A14"/>
    <w:rsid w:val="007622A5"/>
    <w:rsid w:val="0076373E"/>
    <w:rsid w:val="00770182"/>
    <w:rsid w:val="007709C3"/>
    <w:rsid w:val="00780854"/>
    <w:rsid w:val="007874A9"/>
    <w:rsid w:val="007908ED"/>
    <w:rsid w:val="007911AC"/>
    <w:rsid w:val="0079209A"/>
    <w:rsid w:val="007A6BFB"/>
    <w:rsid w:val="007B5780"/>
    <w:rsid w:val="007C16B1"/>
    <w:rsid w:val="007C7F39"/>
    <w:rsid w:val="007D4162"/>
    <w:rsid w:val="007D4F85"/>
    <w:rsid w:val="007F49FE"/>
    <w:rsid w:val="007F59E8"/>
    <w:rsid w:val="0081128D"/>
    <w:rsid w:val="00820B52"/>
    <w:rsid w:val="008238C2"/>
    <w:rsid w:val="00824E60"/>
    <w:rsid w:val="008309E7"/>
    <w:rsid w:val="00830E26"/>
    <w:rsid w:val="00841513"/>
    <w:rsid w:val="00841CC2"/>
    <w:rsid w:val="00841E04"/>
    <w:rsid w:val="0085017E"/>
    <w:rsid w:val="008508F2"/>
    <w:rsid w:val="00851A3E"/>
    <w:rsid w:val="008533FC"/>
    <w:rsid w:val="00864544"/>
    <w:rsid w:val="00865A5F"/>
    <w:rsid w:val="00870881"/>
    <w:rsid w:val="0087638A"/>
    <w:rsid w:val="00876A8E"/>
    <w:rsid w:val="008876BD"/>
    <w:rsid w:val="00887B0F"/>
    <w:rsid w:val="00887F48"/>
    <w:rsid w:val="008A1459"/>
    <w:rsid w:val="008A6835"/>
    <w:rsid w:val="008B4AD8"/>
    <w:rsid w:val="008B7A7D"/>
    <w:rsid w:val="008C3E08"/>
    <w:rsid w:val="008C64C8"/>
    <w:rsid w:val="008C6D51"/>
    <w:rsid w:val="008C6D90"/>
    <w:rsid w:val="008D15AD"/>
    <w:rsid w:val="008F5CED"/>
    <w:rsid w:val="009013AD"/>
    <w:rsid w:val="00903ACE"/>
    <w:rsid w:val="009123F3"/>
    <w:rsid w:val="00913243"/>
    <w:rsid w:val="009133B1"/>
    <w:rsid w:val="00936156"/>
    <w:rsid w:val="00936382"/>
    <w:rsid w:val="009419DF"/>
    <w:rsid w:val="00942255"/>
    <w:rsid w:val="0094748D"/>
    <w:rsid w:val="00960210"/>
    <w:rsid w:val="0096560C"/>
    <w:rsid w:val="00973917"/>
    <w:rsid w:val="00991247"/>
    <w:rsid w:val="00993A19"/>
    <w:rsid w:val="009A1E2F"/>
    <w:rsid w:val="009A1FBF"/>
    <w:rsid w:val="009A3F33"/>
    <w:rsid w:val="009C183D"/>
    <w:rsid w:val="009C7B0F"/>
    <w:rsid w:val="009F0272"/>
    <w:rsid w:val="009F4C44"/>
    <w:rsid w:val="00A0429E"/>
    <w:rsid w:val="00A07F04"/>
    <w:rsid w:val="00A113FF"/>
    <w:rsid w:val="00A24C27"/>
    <w:rsid w:val="00A36CBA"/>
    <w:rsid w:val="00A414DA"/>
    <w:rsid w:val="00A41E34"/>
    <w:rsid w:val="00A41E46"/>
    <w:rsid w:val="00A55494"/>
    <w:rsid w:val="00A60416"/>
    <w:rsid w:val="00A640FD"/>
    <w:rsid w:val="00A76D23"/>
    <w:rsid w:val="00A8255C"/>
    <w:rsid w:val="00A8287F"/>
    <w:rsid w:val="00A85C05"/>
    <w:rsid w:val="00A87228"/>
    <w:rsid w:val="00A87CC7"/>
    <w:rsid w:val="00A92A47"/>
    <w:rsid w:val="00A9326A"/>
    <w:rsid w:val="00A94855"/>
    <w:rsid w:val="00AA6F84"/>
    <w:rsid w:val="00AA78FE"/>
    <w:rsid w:val="00AC25F1"/>
    <w:rsid w:val="00AC4BC5"/>
    <w:rsid w:val="00AC638D"/>
    <w:rsid w:val="00AD3FD2"/>
    <w:rsid w:val="00AD4A51"/>
    <w:rsid w:val="00AD6D15"/>
    <w:rsid w:val="00AF725F"/>
    <w:rsid w:val="00B051D9"/>
    <w:rsid w:val="00B1310E"/>
    <w:rsid w:val="00B168A8"/>
    <w:rsid w:val="00B16C19"/>
    <w:rsid w:val="00B22260"/>
    <w:rsid w:val="00B226EE"/>
    <w:rsid w:val="00B22C64"/>
    <w:rsid w:val="00B230EA"/>
    <w:rsid w:val="00B27B2E"/>
    <w:rsid w:val="00B30618"/>
    <w:rsid w:val="00B36EA6"/>
    <w:rsid w:val="00B43D47"/>
    <w:rsid w:val="00B573CD"/>
    <w:rsid w:val="00B604C4"/>
    <w:rsid w:val="00B66D74"/>
    <w:rsid w:val="00B70FA9"/>
    <w:rsid w:val="00B72648"/>
    <w:rsid w:val="00BA0D10"/>
    <w:rsid w:val="00BA19B6"/>
    <w:rsid w:val="00BA52F5"/>
    <w:rsid w:val="00BB2488"/>
    <w:rsid w:val="00BC7F22"/>
    <w:rsid w:val="00BD5B2D"/>
    <w:rsid w:val="00BE0148"/>
    <w:rsid w:val="00BE3A6E"/>
    <w:rsid w:val="00BE3ADD"/>
    <w:rsid w:val="00BF2726"/>
    <w:rsid w:val="00BF53A2"/>
    <w:rsid w:val="00BF56CC"/>
    <w:rsid w:val="00C026E0"/>
    <w:rsid w:val="00C04C4F"/>
    <w:rsid w:val="00C07811"/>
    <w:rsid w:val="00C147AA"/>
    <w:rsid w:val="00C33015"/>
    <w:rsid w:val="00C36769"/>
    <w:rsid w:val="00C558F5"/>
    <w:rsid w:val="00C604AA"/>
    <w:rsid w:val="00C63B81"/>
    <w:rsid w:val="00C67EB8"/>
    <w:rsid w:val="00C717F1"/>
    <w:rsid w:val="00C755CF"/>
    <w:rsid w:val="00C8229E"/>
    <w:rsid w:val="00C90234"/>
    <w:rsid w:val="00C95BE5"/>
    <w:rsid w:val="00C96EDD"/>
    <w:rsid w:val="00CA1B7F"/>
    <w:rsid w:val="00CA60E3"/>
    <w:rsid w:val="00CB27A8"/>
    <w:rsid w:val="00CB49B1"/>
    <w:rsid w:val="00CB5F50"/>
    <w:rsid w:val="00CB79F3"/>
    <w:rsid w:val="00CC35CC"/>
    <w:rsid w:val="00CD1E92"/>
    <w:rsid w:val="00CE42EB"/>
    <w:rsid w:val="00CE7EDF"/>
    <w:rsid w:val="00CF356A"/>
    <w:rsid w:val="00CF625B"/>
    <w:rsid w:val="00D042EE"/>
    <w:rsid w:val="00D2497C"/>
    <w:rsid w:val="00D36EDE"/>
    <w:rsid w:val="00D3719E"/>
    <w:rsid w:val="00D37D23"/>
    <w:rsid w:val="00D42A0A"/>
    <w:rsid w:val="00D44BA8"/>
    <w:rsid w:val="00D4571C"/>
    <w:rsid w:val="00D46041"/>
    <w:rsid w:val="00D51CD3"/>
    <w:rsid w:val="00D550E8"/>
    <w:rsid w:val="00D61E60"/>
    <w:rsid w:val="00D65714"/>
    <w:rsid w:val="00D760BC"/>
    <w:rsid w:val="00D81E85"/>
    <w:rsid w:val="00D922DC"/>
    <w:rsid w:val="00D925B6"/>
    <w:rsid w:val="00DB2A88"/>
    <w:rsid w:val="00DC01D7"/>
    <w:rsid w:val="00DC17C1"/>
    <w:rsid w:val="00DD3768"/>
    <w:rsid w:val="00DD3845"/>
    <w:rsid w:val="00DD6C2D"/>
    <w:rsid w:val="00DF068E"/>
    <w:rsid w:val="00DF1A9B"/>
    <w:rsid w:val="00DF1ACC"/>
    <w:rsid w:val="00DF79AD"/>
    <w:rsid w:val="00DF7F0F"/>
    <w:rsid w:val="00E04ABA"/>
    <w:rsid w:val="00E07EAF"/>
    <w:rsid w:val="00E10A7A"/>
    <w:rsid w:val="00E11740"/>
    <w:rsid w:val="00E11E76"/>
    <w:rsid w:val="00E14B64"/>
    <w:rsid w:val="00E154C5"/>
    <w:rsid w:val="00E31397"/>
    <w:rsid w:val="00E34330"/>
    <w:rsid w:val="00E51CC3"/>
    <w:rsid w:val="00E56CC3"/>
    <w:rsid w:val="00E77DEA"/>
    <w:rsid w:val="00E81339"/>
    <w:rsid w:val="00E8318A"/>
    <w:rsid w:val="00E849DB"/>
    <w:rsid w:val="00E9251C"/>
    <w:rsid w:val="00E96F5E"/>
    <w:rsid w:val="00EB2318"/>
    <w:rsid w:val="00EB438B"/>
    <w:rsid w:val="00EC4986"/>
    <w:rsid w:val="00EC6327"/>
    <w:rsid w:val="00ED07F6"/>
    <w:rsid w:val="00ED4926"/>
    <w:rsid w:val="00ED6EFE"/>
    <w:rsid w:val="00EE5BDF"/>
    <w:rsid w:val="00EE67BF"/>
    <w:rsid w:val="00EF1623"/>
    <w:rsid w:val="00EF2D2D"/>
    <w:rsid w:val="00F00D49"/>
    <w:rsid w:val="00F04390"/>
    <w:rsid w:val="00F107AF"/>
    <w:rsid w:val="00F10899"/>
    <w:rsid w:val="00F13BA9"/>
    <w:rsid w:val="00F32F3A"/>
    <w:rsid w:val="00F41588"/>
    <w:rsid w:val="00F417CD"/>
    <w:rsid w:val="00F46B16"/>
    <w:rsid w:val="00F51763"/>
    <w:rsid w:val="00F53552"/>
    <w:rsid w:val="00F55B33"/>
    <w:rsid w:val="00F65547"/>
    <w:rsid w:val="00F668D7"/>
    <w:rsid w:val="00F7579B"/>
    <w:rsid w:val="00F77442"/>
    <w:rsid w:val="00F77A23"/>
    <w:rsid w:val="00F8457D"/>
    <w:rsid w:val="00F95E6D"/>
    <w:rsid w:val="00FA6E47"/>
    <w:rsid w:val="00FB15AC"/>
    <w:rsid w:val="00FB235B"/>
    <w:rsid w:val="00FB6120"/>
    <w:rsid w:val="00FC009C"/>
    <w:rsid w:val="00FC3507"/>
    <w:rsid w:val="00FC7425"/>
    <w:rsid w:val="00FD2B9D"/>
    <w:rsid w:val="00FD4E28"/>
    <w:rsid w:val="00FE7D6B"/>
    <w:rsid w:val="00FF10AC"/>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70D"/>
    <w:rPr>
      <w:rFonts w:ascii="Times New Roman" w:hAnsi="Times New Roman"/>
      <w:sz w:val="24"/>
    </w:rPr>
  </w:style>
  <w:style w:type="paragraph" w:styleId="Heading1">
    <w:name w:val="heading 1"/>
    <w:basedOn w:val="Normal"/>
    <w:next w:val="Normal"/>
    <w:link w:val="Heading1Char"/>
    <w:uiPriority w:val="9"/>
    <w:qFormat/>
    <w:rsid w:val="001F070D"/>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F070D"/>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70D"/>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F070D"/>
    <w:rPr>
      <w:rFonts w:ascii="Times New Roman" w:eastAsiaTheme="majorEastAsia" w:hAnsi="Times New Roman" w:cstheme="majorBidi"/>
      <w:b/>
      <w:bCs/>
      <w:color w:val="4F81BD" w:themeColor="accent1"/>
      <w:sz w:val="26"/>
      <w:szCs w:val="26"/>
    </w:rPr>
  </w:style>
  <w:style w:type="paragraph" w:styleId="Title">
    <w:name w:val="Title"/>
    <w:basedOn w:val="Normal"/>
    <w:next w:val="Normal"/>
    <w:link w:val="TitleChar"/>
    <w:uiPriority w:val="10"/>
    <w:qFormat/>
    <w:rsid w:val="001F070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070D"/>
    <w:rPr>
      <w:rFonts w:ascii="Times New Roman" w:eastAsiaTheme="majorEastAsia" w:hAnsi="Times New Roman" w:cstheme="majorBidi"/>
      <w:color w:val="17365D" w:themeColor="text2" w:themeShade="BF"/>
      <w:spacing w:val="5"/>
      <w:kern w:val="28"/>
      <w:sz w:val="52"/>
      <w:szCs w:val="52"/>
    </w:rPr>
  </w:style>
  <w:style w:type="paragraph" w:styleId="ListParagraph">
    <w:name w:val="List Paragraph"/>
    <w:basedOn w:val="Normal"/>
    <w:uiPriority w:val="34"/>
    <w:qFormat/>
    <w:rsid w:val="001448C7"/>
    <w:pPr>
      <w:ind w:left="720"/>
      <w:contextualSpacing/>
    </w:pPr>
  </w:style>
  <w:style w:type="character" w:styleId="Strong">
    <w:name w:val="Strong"/>
    <w:basedOn w:val="DefaultParagraphFont"/>
    <w:uiPriority w:val="22"/>
    <w:qFormat/>
    <w:rsid w:val="001448C7"/>
    <w:rPr>
      <w:b/>
      <w:bCs/>
    </w:rPr>
  </w:style>
  <w:style w:type="paragraph" w:styleId="Header">
    <w:name w:val="header"/>
    <w:basedOn w:val="Normal"/>
    <w:link w:val="HeaderChar"/>
    <w:uiPriority w:val="99"/>
    <w:semiHidden/>
    <w:unhideWhenUsed/>
    <w:rsid w:val="006D6703"/>
    <w:pPr>
      <w:tabs>
        <w:tab w:val="center" w:pos="4680"/>
        <w:tab w:val="right" w:pos="9360"/>
      </w:tabs>
    </w:pPr>
  </w:style>
  <w:style w:type="character" w:customStyle="1" w:styleId="HeaderChar">
    <w:name w:val="Header Char"/>
    <w:basedOn w:val="DefaultParagraphFont"/>
    <w:link w:val="Header"/>
    <w:uiPriority w:val="99"/>
    <w:semiHidden/>
    <w:rsid w:val="006D6703"/>
    <w:rPr>
      <w:rFonts w:ascii="Times New Roman" w:hAnsi="Times New Roman"/>
      <w:sz w:val="24"/>
    </w:rPr>
  </w:style>
  <w:style w:type="paragraph" w:styleId="Footer">
    <w:name w:val="footer"/>
    <w:basedOn w:val="Normal"/>
    <w:link w:val="FooterChar"/>
    <w:uiPriority w:val="99"/>
    <w:unhideWhenUsed/>
    <w:rsid w:val="006D6703"/>
    <w:pPr>
      <w:tabs>
        <w:tab w:val="center" w:pos="4680"/>
        <w:tab w:val="right" w:pos="9360"/>
      </w:tabs>
    </w:pPr>
  </w:style>
  <w:style w:type="character" w:customStyle="1" w:styleId="FooterChar">
    <w:name w:val="Footer Char"/>
    <w:basedOn w:val="DefaultParagraphFont"/>
    <w:link w:val="Footer"/>
    <w:uiPriority w:val="99"/>
    <w:rsid w:val="006D6703"/>
    <w:rPr>
      <w:rFonts w:ascii="Times New Roman" w:hAnsi="Times New Roman"/>
      <w:sz w:val="24"/>
    </w:rPr>
  </w:style>
  <w:style w:type="character" w:styleId="Hyperlink">
    <w:name w:val="Hyperlink"/>
    <w:basedOn w:val="DefaultParagraphFont"/>
    <w:semiHidden/>
    <w:rsid w:val="00BF53A2"/>
    <w:rPr>
      <w:b/>
      <w:bCs/>
      <w:strike w:val="0"/>
      <w:dstrike w:val="0"/>
      <w:color w:val="145DA4"/>
      <w:spacing w:val="2"/>
      <w:sz w:val="24"/>
      <w:szCs w:val="24"/>
      <w:u w:val="none"/>
      <w:effect w:val="none"/>
    </w:rPr>
  </w:style>
  <w:style w:type="table" w:styleId="TableGrid">
    <w:name w:val="Table Grid"/>
    <w:basedOn w:val="TableNormal"/>
    <w:uiPriority w:val="59"/>
    <w:rsid w:val="00C90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9209A"/>
    <w:pPr>
      <w:spacing w:before="225"/>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9306799">
      <w:bodyDiv w:val="1"/>
      <w:marLeft w:val="0"/>
      <w:marRight w:val="0"/>
      <w:marTop w:val="0"/>
      <w:marBottom w:val="0"/>
      <w:divBdr>
        <w:top w:val="none" w:sz="0" w:space="0" w:color="auto"/>
        <w:left w:val="none" w:sz="0" w:space="0" w:color="auto"/>
        <w:bottom w:val="none" w:sz="0" w:space="0" w:color="auto"/>
        <w:right w:val="none" w:sz="0" w:space="0" w:color="auto"/>
      </w:divBdr>
      <w:divsChild>
        <w:div w:id="285700404">
          <w:marLeft w:val="0"/>
          <w:marRight w:val="0"/>
          <w:marTop w:val="0"/>
          <w:marBottom w:val="0"/>
          <w:divBdr>
            <w:top w:val="none" w:sz="0" w:space="0" w:color="auto"/>
            <w:left w:val="none" w:sz="0" w:space="0" w:color="auto"/>
            <w:bottom w:val="none" w:sz="0" w:space="0" w:color="auto"/>
            <w:right w:val="none" w:sz="0" w:space="0" w:color="auto"/>
          </w:divBdr>
          <w:divsChild>
            <w:div w:id="874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5145">
      <w:bodyDiv w:val="1"/>
      <w:marLeft w:val="0"/>
      <w:marRight w:val="0"/>
      <w:marTop w:val="0"/>
      <w:marBottom w:val="0"/>
      <w:divBdr>
        <w:top w:val="none" w:sz="0" w:space="0" w:color="auto"/>
        <w:left w:val="none" w:sz="0" w:space="0" w:color="auto"/>
        <w:bottom w:val="none" w:sz="0" w:space="0" w:color="auto"/>
        <w:right w:val="none" w:sz="0" w:space="0" w:color="auto"/>
      </w:divBdr>
      <w:divsChild>
        <w:div w:id="413629897">
          <w:marLeft w:val="0"/>
          <w:marRight w:val="0"/>
          <w:marTop w:val="0"/>
          <w:marBottom w:val="0"/>
          <w:divBdr>
            <w:top w:val="none" w:sz="0" w:space="0" w:color="auto"/>
            <w:left w:val="none" w:sz="0" w:space="0" w:color="auto"/>
            <w:bottom w:val="none" w:sz="0" w:space="0" w:color="auto"/>
            <w:right w:val="none" w:sz="0" w:space="0" w:color="auto"/>
          </w:divBdr>
          <w:divsChild>
            <w:div w:id="6310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7056">
      <w:bodyDiv w:val="1"/>
      <w:marLeft w:val="0"/>
      <w:marRight w:val="0"/>
      <w:marTop w:val="0"/>
      <w:marBottom w:val="0"/>
      <w:divBdr>
        <w:top w:val="none" w:sz="0" w:space="0" w:color="auto"/>
        <w:left w:val="none" w:sz="0" w:space="0" w:color="auto"/>
        <w:bottom w:val="none" w:sz="0" w:space="0" w:color="auto"/>
        <w:right w:val="none" w:sz="0" w:space="0" w:color="auto"/>
      </w:divBdr>
      <w:divsChild>
        <w:div w:id="1212304929">
          <w:marLeft w:val="0"/>
          <w:marRight w:val="0"/>
          <w:marTop w:val="0"/>
          <w:marBottom w:val="0"/>
          <w:divBdr>
            <w:top w:val="none" w:sz="0" w:space="0" w:color="auto"/>
            <w:left w:val="none" w:sz="0" w:space="0" w:color="auto"/>
            <w:bottom w:val="none" w:sz="0" w:space="0" w:color="auto"/>
            <w:right w:val="none" w:sz="0" w:space="0" w:color="auto"/>
          </w:divBdr>
          <w:divsChild>
            <w:div w:id="144200435">
              <w:marLeft w:val="0"/>
              <w:marRight w:val="0"/>
              <w:marTop w:val="0"/>
              <w:marBottom w:val="0"/>
              <w:divBdr>
                <w:top w:val="none" w:sz="0" w:space="0" w:color="auto"/>
                <w:left w:val="none" w:sz="0" w:space="0" w:color="auto"/>
                <w:bottom w:val="none" w:sz="0" w:space="0" w:color="auto"/>
                <w:right w:val="none" w:sz="0" w:space="0" w:color="auto"/>
              </w:divBdr>
              <w:divsChild>
                <w:div w:id="893152477">
                  <w:marLeft w:val="0"/>
                  <w:marRight w:val="0"/>
                  <w:marTop w:val="0"/>
                  <w:marBottom w:val="0"/>
                  <w:divBdr>
                    <w:top w:val="none" w:sz="0" w:space="0" w:color="auto"/>
                    <w:left w:val="none" w:sz="0" w:space="0" w:color="auto"/>
                    <w:bottom w:val="none" w:sz="0" w:space="0" w:color="auto"/>
                    <w:right w:val="none" w:sz="0" w:space="0" w:color="auto"/>
                  </w:divBdr>
                  <w:divsChild>
                    <w:div w:id="1955549181">
                      <w:marLeft w:val="0"/>
                      <w:marRight w:val="0"/>
                      <w:marTop w:val="0"/>
                      <w:marBottom w:val="0"/>
                      <w:divBdr>
                        <w:top w:val="none" w:sz="0" w:space="0" w:color="auto"/>
                        <w:left w:val="none" w:sz="0" w:space="0" w:color="auto"/>
                        <w:bottom w:val="none" w:sz="0" w:space="0" w:color="auto"/>
                        <w:right w:val="none" w:sz="0" w:space="0" w:color="auto"/>
                      </w:divBdr>
                      <w:divsChild>
                        <w:div w:id="431585602">
                          <w:marLeft w:val="0"/>
                          <w:marRight w:val="0"/>
                          <w:marTop w:val="0"/>
                          <w:marBottom w:val="0"/>
                          <w:divBdr>
                            <w:top w:val="none" w:sz="0" w:space="0" w:color="auto"/>
                            <w:left w:val="none" w:sz="0" w:space="0" w:color="auto"/>
                            <w:bottom w:val="none" w:sz="0" w:space="0" w:color="auto"/>
                            <w:right w:val="none" w:sz="0" w:space="0" w:color="auto"/>
                          </w:divBdr>
                          <w:divsChild>
                            <w:div w:id="1435982595">
                              <w:marLeft w:val="0"/>
                              <w:marRight w:val="75"/>
                              <w:marTop w:val="0"/>
                              <w:marBottom w:val="0"/>
                              <w:divBdr>
                                <w:top w:val="none" w:sz="0" w:space="0" w:color="auto"/>
                                <w:left w:val="none" w:sz="0" w:space="0" w:color="auto"/>
                                <w:bottom w:val="none" w:sz="0" w:space="0" w:color="auto"/>
                                <w:right w:val="none" w:sz="0" w:space="0" w:color="auto"/>
                              </w:divBdr>
                              <w:divsChild>
                                <w:div w:id="1312171093">
                                  <w:marLeft w:val="0"/>
                                  <w:marRight w:val="0"/>
                                  <w:marTop w:val="0"/>
                                  <w:marBottom w:val="0"/>
                                  <w:divBdr>
                                    <w:top w:val="none" w:sz="0" w:space="0" w:color="auto"/>
                                    <w:left w:val="none" w:sz="0" w:space="0" w:color="auto"/>
                                    <w:bottom w:val="none" w:sz="0" w:space="0" w:color="auto"/>
                                    <w:right w:val="none" w:sz="0" w:space="0" w:color="auto"/>
                                  </w:divBdr>
                                  <w:divsChild>
                                    <w:div w:id="573274596">
                                      <w:marLeft w:val="150"/>
                                      <w:marRight w:val="150"/>
                                      <w:marTop w:val="0"/>
                                      <w:marBottom w:val="0"/>
                                      <w:divBdr>
                                        <w:top w:val="none" w:sz="0" w:space="0" w:color="auto"/>
                                        <w:left w:val="none" w:sz="0" w:space="0" w:color="auto"/>
                                        <w:bottom w:val="none" w:sz="0" w:space="0" w:color="auto"/>
                                        <w:right w:val="none" w:sz="0" w:space="0" w:color="auto"/>
                                      </w:divBdr>
                                      <w:divsChild>
                                        <w:div w:id="1552116187">
                                          <w:marLeft w:val="0"/>
                                          <w:marRight w:val="0"/>
                                          <w:marTop w:val="0"/>
                                          <w:marBottom w:val="0"/>
                                          <w:divBdr>
                                            <w:top w:val="none" w:sz="0" w:space="0" w:color="auto"/>
                                            <w:left w:val="none" w:sz="0" w:space="0" w:color="auto"/>
                                            <w:bottom w:val="none" w:sz="0" w:space="0" w:color="auto"/>
                                            <w:right w:val="none" w:sz="0" w:space="0" w:color="auto"/>
                                          </w:divBdr>
                                          <w:divsChild>
                                            <w:div w:id="7328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9048226">
      <w:bodyDiv w:val="1"/>
      <w:marLeft w:val="0"/>
      <w:marRight w:val="0"/>
      <w:marTop w:val="0"/>
      <w:marBottom w:val="0"/>
      <w:divBdr>
        <w:top w:val="none" w:sz="0" w:space="0" w:color="auto"/>
        <w:left w:val="none" w:sz="0" w:space="0" w:color="auto"/>
        <w:bottom w:val="none" w:sz="0" w:space="0" w:color="auto"/>
        <w:right w:val="none" w:sz="0" w:space="0" w:color="auto"/>
      </w:divBdr>
      <w:divsChild>
        <w:div w:id="1688367101">
          <w:marLeft w:val="0"/>
          <w:marRight w:val="0"/>
          <w:marTop w:val="0"/>
          <w:marBottom w:val="0"/>
          <w:divBdr>
            <w:top w:val="none" w:sz="0" w:space="0" w:color="auto"/>
            <w:left w:val="none" w:sz="0" w:space="0" w:color="auto"/>
            <w:bottom w:val="none" w:sz="0" w:space="0" w:color="auto"/>
            <w:right w:val="none" w:sz="0" w:space="0" w:color="auto"/>
          </w:divBdr>
          <w:divsChild>
            <w:div w:id="1437022166">
              <w:marLeft w:val="0"/>
              <w:marRight w:val="0"/>
              <w:marTop w:val="240"/>
              <w:marBottom w:val="0"/>
              <w:divBdr>
                <w:top w:val="none" w:sz="0" w:space="0" w:color="auto"/>
                <w:left w:val="none" w:sz="0" w:space="0" w:color="auto"/>
                <w:bottom w:val="none" w:sz="0" w:space="0" w:color="auto"/>
                <w:right w:val="none" w:sz="0" w:space="0" w:color="auto"/>
              </w:divBdr>
              <w:divsChild>
                <w:div w:id="1646160329">
                  <w:marLeft w:val="0"/>
                  <w:marRight w:val="0"/>
                  <w:marTop w:val="0"/>
                  <w:marBottom w:val="0"/>
                  <w:divBdr>
                    <w:top w:val="none" w:sz="0" w:space="0" w:color="auto"/>
                    <w:left w:val="none" w:sz="0" w:space="0" w:color="auto"/>
                    <w:bottom w:val="none" w:sz="0" w:space="0" w:color="auto"/>
                    <w:right w:val="none" w:sz="0" w:space="0" w:color="auto"/>
                  </w:divBdr>
                  <w:divsChild>
                    <w:div w:id="715198344">
                      <w:marLeft w:val="0"/>
                      <w:marRight w:val="0"/>
                      <w:marTop w:val="0"/>
                      <w:marBottom w:val="0"/>
                      <w:divBdr>
                        <w:top w:val="none" w:sz="0" w:space="0" w:color="auto"/>
                        <w:left w:val="none" w:sz="0" w:space="0" w:color="auto"/>
                        <w:bottom w:val="none" w:sz="0" w:space="0" w:color="auto"/>
                        <w:right w:val="none" w:sz="0" w:space="0" w:color="auto"/>
                      </w:divBdr>
                    </w:div>
                  </w:divsChild>
                </w:div>
                <w:div w:id="804275609">
                  <w:marLeft w:val="0"/>
                  <w:marRight w:val="0"/>
                  <w:marTop w:val="240"/>
                  <w:marBottom w:val="0"/>
                  <w:divBdr>
                    <w:top w:val="none" w:sz="0" w:space="0" w:color="auto"/>
                    <w:left w:val="none" w:sz="0" w:space="0" w:color="auto"/>
                    <w:bottom w:val="none" w:sz="0" w:space="0" w:color="auto"/>
                    <w:right w:val="none" w:sz="0" w:space="0" w:color="auto"/>
                  </w:divBdr>
                  <w:divsChild>
                    <w:div w:id="1874732413">
                      <w:marLeft w:val="0"/>
                      <w:marRight w:val="0"/>
                      <w:marTop w:val="0"/>
                      <w:marBottom w:val="0"/>
                      <w:divBdr>
                        <w:top w:val="none" w:sz="0" w:space="0" w:color="auto"/>
                        <w:left w:val="none" w:sz="0" w:space="0" w:color="auto"/>
                        <w:bottom w:val="none" w:sz="0" w:space="0" w:color="auto"/>
                        <w:right w:val="none" w:sz="0" w:space="0" w:color="auto"/>
                      </w:divBdr>
                      <w:divsChild>
                        <w:div w:id="20548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9426">
                  <w:marLeft w:val="0"/>
                  <w:marRight w:val="0"/>
                  <w:marTop w:val="240"/>
                  <w:marBottom w:val="0"/>
                  <w:divBdr>
                    <w:top w:val="none" w:sz="0" w:space="0" w:color="auto"/>
                    <w:left w:val="none" w:sz="0" w:space="0" w:color="auto"/>
                    <w:bottom w:val="none" w:sz="0" w:space="0" w:color="auto"/>
                    <w:right w:val="none" w:sz="0" w:space="0" w:color="auto"/>
                  </w:divBdr>
                  <w:divsChild>
                    <w:div w:id="1735817061">
                      <w:marLeft w:val="0"/>
                      <w:marRight w:val="0"/>
                      <w:marTop w:val="0"/>
                      <w:marBottom w:val="0"/>
                      <w:divBdr>
                        <w:top w:val="none" w:sz="0" w:space="0" w:color="auto"/>
                        <w:left w:val="none" w:sz="0" w:space="0" w:color="auto"/>
                        <w:bottom w:val="none" w:sz="0" w:space="0" w:color="auto"/>
                        <w:right w:val="none" w:sz="0" w:space="0" w:color="auto"/>
                      </w:divBdr>
                      <w:divsChild>
                        <w:div w:id="4948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0525">
                  <w:marLeft w:val="0"/>
                  <w:marRight w:val="0"/>
                  <w:marTop w:val="240"/>
                  <w:marBottom w:val="0"/>
                  <w:divBdr>
                    <w:top w:val="none" w:sz="0" w:space="0" w:color="auto"/>
                    <w:left w:val="none" w:sz="0" w:space="0" w:color="auto"/>
                    <w:bottom w:val="none" w:sz="0" w:space="0" w:color="auto"/>
                    <w:right w:val="none" w:sz="0" w:space="0" w:color="auto"/>
                  </w:divBdr>
                  <w:divsChild>
                    <w:div w:id="1197427645">
                      <w:marLeft w:val="0"/>
                      <w:marRight w:val="0"/>
                      <w:marTop w:val="0"/>
                      <w:marBottom w:val="0"/>
                      <w:divBdr>
                        <w:top w:val="none" w:sz="0" w:space="0" w:color="auto"/>
                        <w:left w:val="none" w:sz="0" w:space="0" w:color="auto"/>
                        <w:bottom w:val="none" w:sz="0" w:space="0" w:color="auto"/>
                        <w:right w:val="none" w:sz="0" w:space="0" w:color="auto"/>
                      </w:divBdr>
                      <w:divsChild>
                        <w:div w:id="1550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3986">
                  <w:marLeft w:val="0"/>
                  <w:marRight w:val="0"/>
                  <w:marTop w:val="240"/>
                  <w:marBottom w:val="0"/>
                  <w:divBdr>
                    <w:top w:val="none" w:sz="0" w:space="0" w:color="auto"/>
                    <w:left w:val="none" w:sz="0" w:space="0" w:color="auto"/>
                    <w:bottom w:val="none" w:sz="0" w:space="0" w:color="auto"/>
                    <w:right w:val="none" w:sz="0" w:space="0" w:color="auto"/>
                  </w:divBdr>
                  <w:divsChild>
                    <w:div w:id="1166748061">
                      <w:marLeft w:val="0"/>
                      <w:marRight w:val="0"/>
                      <w:marTop w:val="0"/>
                      <w:marBottom w:val="0"/>
                      <w:divBdr>
                        <w:top w:val="none" w:sz="0" w:space="0" w:color="auto"/>
                        <w:left w:val="none" w:sz="0" w:space="0" w:color="auto"/>
                        <w:bottom w:val="none" w:sz="0" w:space="0" w:color="auto"/>
                        <w:right w:val="none" w:sz="0" w:space="0" w:color="auto"/>
                      </w:divBdr>
                      <w:divsChild>
                        <w:div w:id="15943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6402">
              <w:marLeft w:val="0"/>
              <w:marRight w:val="0"/>
              <w:marTop w:val="240"/>
              <w:marBottom w:val="0"/>
              <w:divBdr>
                <w:top w:val="none" w:sz="0" w:space="0" w:color="auto"/>
                <w:left w:val="none" w:sz="0" w:space="0" w:color="auto"/>
                <w:bottom w:val="none" w:sz="0" w:space="0" w:color="auto"/>
                <w:right w:val="none" w:sz="0" w:space="0" w:color="auto"/>
              </w:divBdr>
              <w:divsChild>
                <w:div w:id="546380202">
                  <w:marLeft w:val="0"/>
                  <w:marRight w:val="0"/>
                  <w:marTop w:val="0"/>
                  <w:marBottom w:val="0"/>
                  <w:divBdr>
                    <w:top w:val="none" w:sz="0" w:space="0" w:color="auto"/>
                    <w:left w:val="none" w:sz="0" w:space="0" w:color="auto"/>
                    <w:bottom w:val="none" w:sz="0" w:space="0" w:color="auto"/>
                    <w:right w:val="none" w:sz="0" w:space="0" w:color="auto"/>
                  </w:divBdr>
                  <w:divsChild>
                    <w:div w:id="664432282">
                      <w:marLeft w:val="0"/>
                      <w:marRight w:val="0"/>
                      <w:marTop w:val="0"/>
                      <w:marBottom w:val="0"/>
                      <w:divBdr>
                        <w:top w:val="none" w:sz="0" w:space="0" w:color="auto"/>
                        <w:left w:val="none" w:sz="0" w:space="0" w:color="auto"/>
                        <w:bottom w:val="none" w:sz="0" w:space="0" w:color="auto"/>
                        <w:right w:val="none" w:sz="0" w:space="0" w:color="auto"/>
                      </w:divBdr>
                    </w:div>
                  </w:divsChild>
                </w:div>
                <w:div w:id="749733019">
                  <w:marLeft w:val="0"/>
                  <w:marRight w:val="0"/>
                  <w:marTop w:val="240"/>
                  <w:marBottom w:val="0"/>
                  <w:divBdr>
                    <w:top w:val="none" w:sz="0" w:space="0" w:color="auto"/>
                    <w:left w:val="none" w:sz="0" w:space="0" w:color="auto"/>
                    <w:bottom w:val="none" w:sz="0" w:space="0" w:color="auto"/>
                    <w:right w:val="none" w:sz="0" w:space="0" w:color="auto"/>
                  </w:divBdr>
                  <w:divsChild>
                    <w:div w:id="491914942">
                      <w:marLeft w:val="0"/>
                      <w:marRight w:val="0"/>
                      <w:marTop w:val="0"/>
                      <w:marBottom w:val="0"/>
                      <w:divBdr>
                        <w:top w:val="none" w:sz="0" w:space="0" w:color="auto"/>
                        <w:left w:val="none" w:sz="0" w:space="0" w:color="auto"/>
                        <w:bottom w:val="none" w:sz="0" w:space="0" w:color="auto"/>
                        <w:right w:val="none" w:sz="0" w:space="0" w:color="auto"/>
                      </w:divBdr>
                      <w:divsChild>
                        <w:div w:id="4759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9259">
                  <w:marLeft w:val="0"/>
                  <w:marRight w:val="0"/>
                  <w:marTop w:val="240"/>
                  <w:marBottom w:val="0"/>
                  <w:divBdr>
                    <w:top w:val="none" w:sz="0" w:space="0" w:color="auto"/>
                    <w:left w:val="none" w:sz="0" w:space="0" w:color="auto"/>
                    <w:bottom w:val="none" w:sz="0" w:space="0" w:color="auto"/>
                    <w:right w:val="none" w:sz="0" w:space="0" w:color="auto"/>
                  </w:divBdr>
                  <w:divsChild>
                    <w:div w:id="95252450">
                      <w:marLeft w:val="0"/>
                      <w:marRight w:val="0"/>
                      <w:marTop w:val="0"/>
                      <w:marBottom w:val="0"/>
                      <w:divBdr>
                        <w:top w:val="none" w:sz="0" w:space="0" w:color="auto"/>
                        <w:left w:val="none" w:sz="0" w:space="0" w:color="auto"/>
                        <w:bottom w:val="none" w:sz="0" w:space="0" w:color="auto"/>
                        <w:right w:val="none" w:sz="0" w:space="0" w:color="auto"/>
                      </w:divBdr>
                      <w:divsChild>
                        <w:div w:id="8765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2368">
                  <w:marLeft w:val="0"/>
                  <w:marRight w:val="0"/>
                  <w:marTop w:val="240"/>
                  <w:marBottom w:val="0"/>
                  <w:divBdr>
                    <w:top w:val="none" w:sz="0" w:space="0" w:color="auto"/>
                    <w:left w:val="none" w:sz="0" w:space="0" w:color="auto"/>
                    <w:bottom w:val="none" w:sz="0" w:space="0" w:color="auto"/>
                    <w:right w:val="none" w:sz="0" w:space="0" w:color="auto"/>
                  </w:divBdr>
                  <w:divsChild>
                    <w:div w:id="502209297">
                      <w:marLeft w:val="0"/>
                      <w:marRight w:val="0"/>
                      <w:marTop w:val="0"/>
                      <w:marBottom w:val="0"/>
                      <w:divBdr>
                        <w:top w:val="none" w:sz="0" w:space="0" w:color="auto"/>
                        <w:left w:val="none" w:sz="0" w:space="0" w:color="auto"/>
                        <w:bottom w:val="none" w:sz="0" w:space="0" w:color="auto"/>
                        <w:right w:val="none" w:sz="0" w:space="0" w:color="auto"/>
                      </w:divBdr>
                      <w:divsChild>
                        <w:div w:id="5174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8194">
                  <w:marLeft w:val="0"/>
                  <w:marRight w:val="0"/>
                  <w:marTop w:val="240"/>
                  <w:marBottom w:val="0"/>
                  <w:divBdr>
                    <w:top w:val="none" w:sz="0" w:space="0" w:color="auto"/>
                    <w:left w:val="none" w:sz="0" w:space="0" w:color="auto"/>
                    <w:bottom w:val="none" w:sz="0" w:space="0" w:color="auto"/>
                    <w:right w:val="none" w:sz="0" w:space="0" w:color="auto"/>
                  </w:divBdr>
                  <w:divsChild>
                    <w:div w:id="80105518">
                      <w:marLeft w:val="0"/>
                      <w:marRight w:val="0"/>
                      <w:marTop w:val="0"/>
                      <w:marBottom w:val="0"/>
                      <w:divBdr>
                        <w:top w:val="none" w:sz="0" w:space="0" w:color="auto"/>
                        <w:left w:val="none" w:sz="0" w:space="0" w:color="auto"/>
                        <w:bottom w:val="none" w:sz="0" w:space="0" w:color="auto"/>
                        <w:right w:val="none" w:sz="0" w:space="0" w:color="auto"/>
                      </w:divBdr>
                      <w:divsChild>
                        <w:div w:id="13324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5871">
                  <w:marLeft w:val="0"/>
                  <w:marRight w:val="0"/>
                  <w:marTop w:val="240"/>
                  <w:marBottom w:val="0"/>
                  <w:divBdr>
                    <w:top w:val="none" w:sz="0" w:space="0" w:color="auto"/>
                    <w:left w:val="none" w:sz="0" w:space="0" w:color="auto"/>
                    <w:bottom w:val="none" w:sz="0" w:space="0" w:color="auto"/>
                    <w:right w:val="none" w:sz="0" w:space="0" w:color="auto"/>
                  </w:divBdr>
                  <w:divsChild>
                    <w:div w:id="300960586">
                      <w:marLeft w:val="0"/>
                      <w:marRight w:val="0"/>
                      <w:marTop w:val="0"/>
                      <w:marBottom w:val="0"/>
                      <w:divBdr>
                        <w:top w:val="none" w:sz="0" w:space="0" w:color="auto"/>
                        <w:left w:val="none" w:sz="0" w:space="0" w:color="auto"/>
                        <w:bottom w:val="none" w:sz="0" w:space="0" w:color="auto"/>
                        <w:right w:val="none" w:sz="0" w:space="0" w:color="auto"/>
                      </w:divBdr>
                      <w:divsChild>
                        <w:div w:id="8183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79462">
              <w:marLeft w:val="0"/>
              <w:marRight w:val="0"/>
              <w:marTop w:val="240"/>
              <w:marBottom w:val="0"/>
              <w:divBdr>
                <w:top w:val="none" w:sz="0" w:space="0" w:color="auto"/>
                <w:left w:val="none" w:sz="0" w:space="0" w:color="auto"/>
                <w:bottom w:val="none" w:sz="0" w:space="0" w:color="auto"/>
                <w:right w:val="none" w:sz="0" w:space="0" w:color="auto"/>
              </w:divBdr>
              <w:divsChild>
                <w:div w:id="1140153204">
                  <w:marLeft w:val="0"/>
                  <w:marRight w:val="0"/>
                  <w:marTop w:val="0"/>
                  <w:marBottom w:val="0"/>
                  <w:divBdr>
                    <w:top w:val="none" w:sz="0" w:space="0" w:color="auto"/>
                    <w:left w:val="none" w:sz="0" w:space="0" w:color="auto"/>
                    <w:bottom w:val="none" w:sz="0" w:space="0" w:color="auto"/>
                    <w:right w:val="none" w:sz="0" w:space="0" w:color="auto"/>
                  </w:divBdr>
                  <w:divsChild>
                    <w:div w:id="10687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00665">
      <w:bodyDiv w:val="1"/>
      <w:marLeft w:val="0"/>
      <w:marRight w:val="0"/>
      <w:marTop w:val="0"/>
      <w:marBottom w:val="0"/>
      <w:divBdr>
        <w:top w:val="none" w:sz="0" w:space="0" w:color="auto"/>
        <w:left w:val="none" w:sz="0" w:space="0" w:color="auto"/>
        <w:bottom w:val="none" w:sz="0" w:space="0" w:color="auto"/>
        <w:right w:val="none" w:sz="0" w:space="0" w:color="auto"/>
      </w:divBdr>
      <w:divsChild>
        <w:div w:id="2087729589">
          <w:marLeft w:val="0"/>
          <w:marRight w:val="0"/>
          <w:marTop w:val="0"/>
          <w:marBottom w:val="0"/>
          <w:divBdr>
            <w:top w:val="none" w:sz="0" w:space="0" w:color="auto"/>
            <w:left w:val="none" w:sz="0" w:space="0" w:color="auto"/>
            <w:bottom w:val="none" w:sz="0" w:space="0" w:color="auto"/>
            <w:right w:val="none" w:sz="0" w:space="0" w:color="auto"/>
          </w:divBdr>
          <w:divsChild>
            <w:div w:id="20698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estlaw.com/Link/Document/FullText?findType=L&amp;pubNum=1000546&amp;cite=31USCAS5314&amp;originatingDoc=N23CA44B0A21B11E09BC1E2444B8A3FCC&amp;refType=LQ&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B0151-BA5F-4627-B1EB-5683D2C2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9</Pages>
  <Words>2837</Words>
  <Characters>14586</Characters>
  <Application>Microsoft Office Word</Application>
  <DocSecurity>0</DocSecurity>
  <PresentationFormat/>
  <Lines>473</Lines>
  <Paragraphs>194</Paragraphs>
  <ScaleCrop>false</ScaleCrop>
  <HeadingPairs>
    <vt:vector size="2" baseType="variant">
      <vt:variant>
        <vt:lpstr>Title</vt:lpstr>
      </vt:variant>
      <vt:variant>
        <vt:i4>1</vt:i4>
      </vt:variant>
    </vt:vector>
  </HeadingPairs>
  <TitlesOfParts>
    <vt:vector size="1" baseType="lpstr">
      <vt:lpstr>FBAR Materials  (WC591912.DOCX;1)</vt:lpstr>
    </vt:vector>
  </TitlesOfParts>
  <Company>Williams Coulson</Company>
  <LinksUpToDate>false</LinksUpToDate>
  <CharactersWithSpaces>17345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FBAR Materials  (WC591912.DOCX;1)</dc:title>
  <dc:subject>WC591912.1  /font=6</dc:subject>
  <dc:creator>Stephen J. Pieklik</dc:creator>
  <cp:keywords/>
  <dc:description/>
  <cp:lastModifiedBy>Stephen J. Pieklik</cp:lastModifiedBy>
  <cp:revision>16</cp:revision>
  <cp:lastPrinted>2012-11-09T19:30:00Z</cp:lastPrinted>
  <dcterms:created xsi:type="dcterms:W3CDTF">2012-11-05T12:09:00Z</dcterms:created>
  <dcterms:modified xsi:type="dcterms:W3CDTF">2012-11-09T21:14:00Z</dcterms:modified>
</cp:coreProperties>
</file>