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2" w:rsidRPr="00DB5726" w:rsidRDefault="00D76638" w:rsidP="00DB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726">
        <w:rPr>
          <w:rFonts w:ascii="Times New Roman" w:hAnsi="Times New Roman" w:cs="Times New Roman"/>
          <w:sz w:val="24"/>
          <w:szCs w:val="24"/>
          <w:u w:val="single"/>
        </w:rPr>
        <w:t>OECD BEPS &amp; U.S. International Tax Summary</w:t>
      </w:r>
    </w:p>
    <w:p w:rsidR="00693EEB" w:rsidRPr="00DB5726" w:rsidRDefault="00693EEB" w:rsidP="00DB57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B5726">
        <w:rPr>
          <w:rFonts w:ascii="Times New Roman" w:hAnsi="Times New Roman" w:cs="Times New Roman"/>
          <w:b/>
        </w:rPr>
        <w:t>Overview</w:t>
      </w:r>
    </w:p>
    <w:p w:rsidR="00693EEB" w:rsidRPr="00904280" w:rsidRDefault="0053454F" w:rsidP="00DB57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93EEB" w:rsidRPr="00904280">
        <w:rPr>
          <w:rFonts w:ascii="Times New Roman" w:hAnsi="Times New Roman" w:cs="Times New Roman"/>
        </w:rPr>
        <w:t>OECD’s Base Erosion and Profit Shifting (“BEPS”) project was started at the request of the February 2013 G20 Summit, due to concerns that substantial tax re</w:t>
      </w:r>
      <w:r>
        <w:rPr>
          <w:rFonts w:ascii="Times New Roman" w:hAnsi="Times New Roman" w:cs="Times New Roman"/>
        </w:rPr>
        <w:t>venue is being lost because of c</w:t>
      </w:r>
      <w:r w:rsidR="00693EEB" w:rsidRPr="00904280">
        <w:rPr>
          <w:rFonts w:ascii="Times New Roman" w:hAnsi="Times New Roman" w:cs="Times New Roman"/>
        </w:rPr>
        <w:t>orporate planning aimed at eroding the taxable base in countries with less favorable tax treatment</w:t>
      </w:r>
      <w:r>
        <w:rPr>
          <w:rFonts w:ascii="Times New Roman" w:hAnsi="Times New Roman" w:cs="Times New Roman"/>
        </w:rPr>
        <w:t>.</w:t>
      </w:r>
    </w:p>
    <w:p w:rsidR="00DC782A" w:rsidRPr="00DB5726" w:rsidRDefault="00DC782A" w:rsidP="00DB5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B5726">
        <w:rPr>
          <w:rFonts w:ascii="Times New Roman" w:hAnsi="Times New Roman" w:cs="Times New Roman"/>
          <w:b/>
        </w:rPr>
        <w:t>Timeline</w:t>
      </w:r>
    </w:p>
    <w:p w:rsidR="00DC782A" w:rsidRPr="00904280" w:rsidRDefault="00DC782A" w:rsidP="00DB572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  <w:u w:val="single"/>
        </w:rPr>
        <w:t>June 2012</w:t>
      </w:r>
      <w:r w:rsidR="00D51315">
        <w:rPr>
          <w:rFonts w:ascii="Times New Roman" w:hAnsi="Times New Roman" w:cs="Times New Roman"/>
        </w:rPr>
        <w:t>- Project a</w:t>
      </w:r>
      <w:r w:rsidRPr="00904280">
        <w:rPr>
          <w:rFonts w:ascii="Times New Roman" w:hAnsi="Times New Roman" w:cs="Times New Roman"/>
        </w:rPr>
        <w:t xml:space="preserve">nnounced; </w:t>
      </w:r>
      <w:r w:rsidRPr="00904280">
        <w:rPr>
          <w:rFonts w:ascii="Times New Roman" w:hAnsi="Times New Roman" w:cs="Times New Roman"/>
          <w:u w:val="single"/>
        </w:rPr>
        <w:t>July 2013</w:t>
      </w:r>
      <w:r w:rsidRPr="00904280">
        <w:rPr>
          <w:rFonts w:ascii="Times New Roman" w:hAnsi="Times New Roman" w:cs="Times New Roman"/>
        </w:rPr>
        <w:t xml:space="preserve">- Release of Action Plan; </w:t>
      </w:r>
      <w:r w:rsidRPr="00904280">
        <w:rPr>
          <w:rFonts w:ascii="Times New Roman" w:hAnsi="Times New Roman" w:cs="Times New Roman"/>
          <w:u w:val="single"/>
        </w:rPr>
        <w:t>July 2013-2015</w:t>
      </w:r>
      <w:r w:rsidRPr="00904280">
        <w:rPr>
          <w:rFonts w:ascii="Times New Roman" w:hAnsi="Times New Roman" w:cs="Times New Roman"/>
        </w:rPr>
        <w:t xml:space="preserve">- Stakeholder input requested; </w:t>
      </w:r>
      <w:r w:rsidRPr="00904280">
        <w:rPr>
          <w:rFonts w:ascii="Times New Roman" w:hAnsi="Times New Roman" w:cs="Times New Roman"/>
          <w:u w:val="single"/>
        </w:rPr>
        <w:t>October 5, 2015</w:t>
      </w:r>
      <w:r w:rsidR="00D51315">
        <w:rPr>
          <w:rFonts w:ascii="Times New Roman" w:hAnsi="Times New Roman" w:cs="Times New Roman"/>
        </w:rPr>
        <w:t>- Completion of Action Plan r</w:t>
      </w:r>
      <w:r w:rsidRPr="00904280">
        <w:rPr>
          <w:rFonts w:ascii="Times New Roman" w:hAnsi="Times New Roman" w:cs="Times New Roman"/>
        </w:rPr>
        <w:t xml:space="preserve">eports; </w:t>
      </w:r>
      <w:r w:rsidRPr="00904280">
        <w:rPr>
          <w:rFonts w:ascii="Times New Roman" w:hAnsi="Times New Roman" w:cs="Times New Roman"/>
          <w:u w:val="single"/>
        </w:rPr>
        <w:t>October 8, 2015</w:t>
      </w:r>
      <w:r w:rsidRPr="00904280">
        <w:rPr>
          <w:rFonts w:ascii="Times New Roman" w:hAnsi="Times New Roman" w:cs="Times New Roman"/>
        </w:rPr>
        <w:t xml:space="preserve"> and </w:t>
      </w:r>
      <w:r w:rsidRPr="00904280">
        <w:rPr>
          <w:rFonts w:ascii="Times New Roman" w:hAnsi="Times New Roman" w:cs="Times New Roman"/>
          <w:u w:val="single"/>
        </w:rPr>
        <w:t>November 15, 2015</w:t>
      </w:r>
      <w:r w:rsidRPr="00904280">
        <w:rPr>
          <w:rFonts w:ascii="Times New Roman" w:hAnsi="Times New Roman" w:cs="Times New Roman"/>
        </w:rPr>
        <w:t>- Presentation of Act</w:t>
      </w:r>
      <w:r w:rsidR="00D51315">
        <w:rPr>
          <w:rFonts w:ascii="Times New Roman" w:hAnsi="Times New Roman" w:cs="Times New Roman"/>
        </w:rPr>
        <w:t>ion Plan r</w:t>
      </w:r>
      <w:r w:rsidRPr="00904280">
        <w:rPr>
          <w:rFonts w:ascii="Times New Roman" w:hAnsi="Times New Roman" w:cs="Times New Roman"/>
        </w:rPr>
        <w:t>eports to G20</w:t>
      </w:r>
    </w:p>
    <w:p w:rsidR="00DC782A" w:rsidRPr="00DB5726" w:rsidRDefault="00AD248D" w:rsidP="00DB5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B5726">
        <w:rPr>
          <w:rFonts w:ascii="Times New Roman" w:hAnsi="Times New Roman" w:cs="Times New Roman"/>
          <w:b/>
        </w:rPr>
        <w:t>BEPS Action Items</w:t>
      </w:r>
    </w:p>
    <w:p w:rsidR="00AD248D" w:rsidRPr="00904280" w:rsidRDefault="00AD248D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Action 1- Digital Economy</w:t>
      </w:r>
    </w:p>
    <w:p w:rsidR="00AD248D" w:rsidRPr="00904280" w:rsidRDefault="00AD248D" w:rsidP="00DB572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Addressed through recommendations under other action</w:t>
      </w:r>
      <w:r w:rsidR="006011FB">
        <w:rPr>
          <w:rFonts w:ascii="Times New Roman" w:hAnsi="Times New Roman" w:cs="Times New Roman"/>
        </w:rPr>
        <w:t>s</w:t>
      </w:r>
      <w:r w:rsidR="00D51315">
        <w:rPr>
          <w:rFonts w:ascii="Times New Roman" w:hAnsi="Times New Roman" w:cs="Times New Roman"/>
        </w:rPr>
        <w:t>; supplementary r</w:t>
      </w:r>
      <w:r w:rsidRPr="00904280">
        <w:rPr>
          <w:rFonts w:ascii="Times New Roman" w:hAnsi="Times New Roman" w:cs="Times New Roman"/>
        </w:rPr>
        <w:t xml:space="preserve">eport </w:t>
      </w:r>
      <w:r w:rsidR="00D51315">
        <w:rPr>
          <w:rFonts w:ascii="Times New Roman" w:hAnsi="Times New Roman" w:cs="Times New Roman"/>
        </w:rPr>
        <w:t xml:space="preserve">released </w:t>
      </w:r>
      <w:r w:rsidRPr="00904280">
        <w:rPr>
          <w:rFonts w:ascii="Times New Roman" w:hAnsi="Times New Roman" w:cs="Times New Roman"/>
        </w:rPr>
        <w:t>by 2020</w:t>
      </w:r>
    </w:p>
    <w:p w:rsidR="00AD248D" w:rsidRPr="00904280" w:rsidRDefault="00B41DFE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Action 2- Hybrid Mismatch Arrangements</w:t>
      </w:r>
    </w:p>
    <w:p w:rsidR="00B41DFE" w:rsidRPr="00904280" w:rsidRDefault="00B41DFE" w:rsidP="00DB572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Linking rules aimed at neutralizing</w:t>
      </w:r>
      <w:r w:rsidR="00DB5726">
        <w:rPr>
          <w:rFonts w:ascii="Times New Roman" w:hAnsi="Times New Roman" w:cs="Times New Roman"/>
        </w:rPr>
        <w:t xml:space="preserve"> mismatches in tax outcomes</w:t>
      </w:r>
    </w:p>
    <w:p w:rsidR="00B41DFE" w:rsidRPr="00904280" w:rsidRDefault="00B41DFE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Action 3- Strengthening CFC Rules</w:t>
      </w:r>
    </w:p>
    <w:p w:rsidR="00B41DFE" w:rsidRPr="00904280" w:rsidRDefault="00B41DFE" w:rsidP="00DB572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 xml:space="preserve">Recommendations made up of six building blocks for </w:t>
      </w:r>
      <w:r w:rsidR="00D51315">
        <w:rPr>
          <w:rFonts w:ascii="Times New Roman" w:hAnsi="Times New Roman" w:cs="Times New Roman"/>
        </w:rPr>
        <w:t xml:space="preserve">the </w:t>
      </w:r>
      <w:r w:rsidRPr="00904280">
        <w:rPr>
          <w:rFonts w:ascii="Times New Roman" w:hAnsi="Times New Roman" w:cs="Times New Roman"/>
        </w:rPr>
        <w:t>design of effective CFC rules</w:t>
      </w:r>
    </w:p>
    <w:p w:rsidR="00B41DFE" w:rsidRPr="00904280" w:rsidRDefault="00B41DFE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Action 4- Interest Deductions</w:t>
      </w:r>
    </w:p>
    <w:p w:rsidR="00B41DFE" w:rsidRPr="00904280" w:rsidRDefault="0063048B" w:rsidP="00DB572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Limit net interest deductions to a fixed percentage of EBITDA</w:t>
      </w:r>
    </w:p>
    <w:p w:rsidR="00A126B8" w:rsidRPr="00904280" w:rsidRDefault="00A126B8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Action 5- Harmful Tax Competition</w:t>
      </w:r>
    </w:p>
    <w:p w:rsidR="00A126B8" w:rsidRPr="00904280" w:rsidRDefault="00A126B8" w:rsidP="00DB572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Nexus approach and improved transparency to determine if tax regimes are harmful</w:t>
      </w:r>
    </w:p>
    <w:p w:rsidR="00D50775" w:rsidRPr="00904280" w:rsidRDefault="00A126B8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Action 6-</w:t>
      </w:r>
      <w:r w:rsidR="00D50775" w:rsidRPr="00904280">
        <w:rPr>
          <w:rFonts w:ascii="Times New Roman" w:hAnsi="Times New Roman" w:cs="Times New Roman"/>
        </w:rPr>
        <w:t xml:space="preserve"> Treaty Abuse</w:t>
      </w:r>
    </w:p>
    <w:p w:rsidR="00904280" w:rsidRPr="00904280" w:rsidRDefault="00D50775" w:rsidP="00DB57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Anti-abuse provisions, clarification of treaty purpose, and tax policy considerations</w:t>
      </w:r>
    </w:p>
    <w:p w:rsidR="00904280" w:rsidRPr="00904280" w:rsidRDefault="00904280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lastRenderedPageBreak/>
        <w:t>Action 7- Permanent Establishment Status</w:t>
      </w:r>
    </w:p>
    <w:p w:rsidR="00904280" w:rsidRDefault="00904280" w:rsidP="00DB572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904280">
        <w:rPr>
          <w:rFonts w:ascii="Times New Roman" w:hAnsi="Times New Roman" w:cs="Times New Roman"/>
        </w:rPr>
        <w:t>Prevent foreign enterprises from operating in a country without creating a permanent establishment; split-up contracts under general anti-avoidance</w:t>
      </w:r>
    </w:p>
    <w:p w:rsidR="00904280" w:rsidRDefault="00904280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8 (Transfer Pricing for Intangibles), Action 9 (Risks &amp; Capital), and Action 10 (High-Risk Transactions)</w:t>
      </w:r>
    </w:p>
    <w:p w:rsidR="00904280" w:rsidRDefault="00904280" w:rsidP="00DB572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8- </w:t>
      </w:r>
      <w:r w:rsidR="00D51315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guidelines on hard-to-value intangibles; Action 9- new guidance on comm</w:t>
      </w:r>
      <w:r w:rsidR="00AD70BF">
        <w:rPr>
          <w:rFonts w:ascii="Times New Roman" w:hAnsi="Times New Roman" w:cs="Times New Roman"/>
        </w:rPr>
        <w:t>odity transactions; Action 10- A</w:t>
      </w:r>
      <w:r>
        <w:rPr>
          <w:rFonts w:ascii="Times New Roman" w:hAnsi="Times New Roman" w:cs="Times New Roman"/>
        </w:rPr>
        <w:t xml:space="preserve">mended guidance on </w:t>
      </w:r>
      <w:r w:rsidR="00250B82">
        <w:rPr>
          <w:rFonts w:ascii="Times New Roman" w:hAnsi="Times New Roman" w:cs="Times New Roman"/>
        </w:rPr>
        <w:t>identification of actual transaction undertaken</w:t>
      </w:r>
    </w:p>
    <w:p w:rsidR="00250B82" w:rsidRDefault="00250B82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11 (Collecting &amp; Analyzing Data on BEPS) and Action 12 (Mandatory Disclosure)</w:t>
      </w:r>
    </w:p>
    <w:p w:rsidR="00250B82" w:rsidRDefault="00250B82" w:rsidP="00DB572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11-Estimate the size of BEPS ($100-240 USD billion annually); Action 12- </w:t>
      </w:r>
      <w:r w:rsidR="00A579C4">
        <w:rPr>
          <w:rFonts w:ascii="Times New Roman" w:hAnsi="Times New Roman" w:cs="Times New Roman"/>
        </w:rPr>
        <w:t>design recommendations</w:t>
      </w:r>
      <w:r w:rsidR="00D51315">
        <w:rPr>
          <w:rFonts w:ascii="Times New Roman" w:hAnsi="Times New Roman" w:cs="Times New Roman"/>
        </w:rPr>
        <w:t>,</w:t>
      </w:r>
      <w:r w:rsidR="00A579C4">
        <w:rPr>
          <w:rFonts w:ascii="Times New Roman" w:hAnsi="Times New Roman" w:cs="Times New Roman"/>
        </w:rPr>
        <w:t xml:space="preserve"> but not a minimum standard</w:t>
      </w:r>
    </w:p>
    <w:p w:rsidR="003B7655" w:rsidRDefault="003B7655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13- Country-by-Country Reporting</w:t>
      </w:r>
    </w:p>
    <w:p w:rsidR="00AD70BF" w:rsidRDefault="003B7655" w:rsidP="00DB572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required for MNC’s with revenue of Euro 750 Million or more</w:t>
      </w:r>
      <w:r w:rsidR="00DB5726">
        <w:rPr>
          <w:rFonts w:ascii="Times New Roman" w:hAnsi="Times New Roman" w:cs="Times New Roman"/>
        </w:rPr>
        <w:t>;</w:t>
      </w:r>
      <w:r w:rsidR="00DB5726" w:rsidRPr="00DB5726">
        <w:t xml:space="preserve"> </w:t>
      </w:r>
      <w:r w:rsidR="00DB5726" w:rsidRPr="00DB5726">
        <w:rPr>
          <w:rFonts w:ascii="Times New Roman" w:hAnsi="Times New Roman" w:cs="Times New Roman"/>
        </w:rPr>
        <w:t>implemented for fiscal years beginning on or after January 1, 2016</w:t>
      </w:r>
    </w:p>
    <w:p w:rsidR="00AD70BF" w:rsidRDefault="00AD70BF" w:rsidP="00DB57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14 (Dispute Resolution) and Action 15 (Multilateral Instrument)</w:t>
      </w:r>
    </w:p>
    <w:p w:rsidR="00AD70BF" w:rsidRDefault="00AD70BF" w:rsidP="00DB572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14-Strengthen effectiveness of mutual agreement procedure; Action 15- Group of 90 countries to begin negotiations</w:t>
      </w:r>
    </w:p>
    <w:p w:rsidR="006F09F7" w:rsidRDefault="006F09F7" w:rsidP="00DB57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U.S. International Tax Updates</w:t>
      </w:r>
    </w:p>
    <w:p w:rsidR="00AD70BF" w:rsidRPr="006F09F7" w:rsidRDefault="00060FDD" w:rsidP="006F09F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F09F7">
        <w:rPr>
          <w:rFonts w:ascii="Times New Roman" w:hAnsi="Times New Roman" w:cs="Times New Roman"/>
        </w:rPr>
        <w:t>Foreign Account Tax Compliance Act (“FATCA”) Overview</w:t>
      </w:r>
    </w:p>
    <w:p w:rsidR="00060FDD" w:rsidRDefault="00DB5726" w:rsidP="006F09F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that</w:t>
      </w:r>
      <w:r w:rsidR="00060FDD">
        <w:rPr>
          <w:rFonts w:ascii="Times New Roman" w:hAnsi="Times New Roman" w:cs="Times New Roman"/>
        </w:rPr>
        <w:t xml:space="preserve"> U.S. persons with </w:t>
      </w:r>
      <w:r>
        <w:rPr>
          <w:rFonts w:ascii="Times New Roman" w:hAnsi="Times New Roman" w:cs="Times New Roman"/>
        </w:rPr>
        <w:t>overseas assets pay</w:t>
      </w:r>
      <w:r w:rsidR="00060FDD">
        <w:rPr>
          <w:rFonts w:ascii="Times New Roman" w:hAnsi="Times New Roman" w:cs="Times New Roman"/>
        </w:rPr>
        <w:t xml:space="preserve"> U.S. tax on worldwide income; requires foreign financial institutions to disclose identities of U.S. persons holding accounts with such institutions </w:t>
      </w:r>
    </w:p>
    <w:p w:rsidR="006F09F7" w:rsidRDefault="00114C18" w:rsidP="006F09F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F09F7">
        <w:rPr>
          <w:rFonts w:ascii="Times New Roman" w:hAnsi="Times New Roman" w:cs="Times New Roman"/>
        </w:rPr>
        <w:t>Tax Extenders</w:t>
      </w:r>
    </w:p>
    <w:p w:rsidR="00114C18" w:rsidRPr="006F09F7" w:rsidRDefault="00114C18" w:rsidP="006F09F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F09F7">
        <w:rPr>
          <w:rFonts w:ascii="Times New Roman" w:hAnsi="Times New Roman" w:cs="Times New Roman"/>
        </w:rPr>
        <w:t>Luxembourg-U.S. Branch Structures</w:t>
      </w:r>
    </w:p>
    <w:p w:rsidR="00A126B8" w:rsidRPr="006011FB" w:rsidRDefault="00114C18" w:rsidP="006F09F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2015- U.S. pressure on Luxe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mbourg because Luxembourg-U.S. branch structure allows for double non-taxation; October 2015- Luxembourg tax authorities asked to find a solution </w:t>
      </w:r>
    </w:p>
    <w:sectPr w:rsidR="00A126B8" w:rsidRPr="006011FB" w:rsidSect="00DB572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68"/>
    <w:multiLevelType w:val="hybridMultilevel"/>
    <w:tmpl w:val="9F7870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87D09"/>
    <w:multiLevelType w:val="hybridMultilevel"/>
    <w:tmpl w:val="35ECEB7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16888"/>
    <w:multiLevelType w:val="hybridMultilevel"/>
    <w:tmpl w:val="CADABF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F2BCF"/>
    <w:multiLevelType w:val="hybridMultilevel"/>
    <w:tmpl w:val="387C39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E05CB"/>
    <w:multiLevelType w:val="hybridMultilevel"/>
    <w:tmpl w:val="CADABF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A7A65"/>
    <w:multiLevelType w:val="hybridMultilevel"/>
    <w:tmpl w:val="A7AA9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313B"/>
    <w:multiLevelType w:val="hybridMultilevel"/>
    <w:tmpl w:val="CADABF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A29AA"/>
    <w:multiLevelType w:val="hybridMultilevel"/>
    <w:tmpl w:val="9F7870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A0F53"/>
    <w:multiLevelType w:val="hybridMultilevel"/>
    <w:tmpl w:val="F872D2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77030"/>
    <w:multiLevelType w:val="hybridMultilevel"/>
    <w:tmpl w:val="1CB6B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1598"/>
    <w:multiLevelType w:val="hybridMultilevel"/>
    <w:tmpl w:val="C3644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67A06"/>
    <w:multiLevelType w:val="hybridMultilevel"/>
    <w:tmpl w:val="CADABF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D7352"/>
    <w:multiLevelType w:val="hybridMultilevel"/>
    <w:tmpl w:val="D9D416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31385"/>
    <w:multiLevelType w:val="hybridMultilevel"/>
    <w:tmpl w:val="E9A279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E438CA"/>
    <w:multiLevelType w:val="hybridMultilevel"/>
    <w:tmpl w:val="38346A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350F1"/>
    <w:multiLevelType w:val="hybridMultilevel"/>
    <w:tmpl w:val="2ABA76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348FE"/>
    <w:multiLevelType w:val="hybridMultilevel"/>
    <w:tmpl w:val="2D7092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43CE5"/>
    <w:multiLevelType w:val="hybridMultilevel"/>
    <w:tmpl w:val="387C39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4F0DC9"/>
    <w:multiLevelType w:val="hybridMultilevel"/>
    <w:tmpl w:val="7F844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D310F"/>
    <w:multiLevelType w:val="hybridMultilevel"/>
    <w:tmpl w:val="A69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0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8"/>
  </w:num>
  <w:num w:numId="11">
    <w:abstractNumId w:val="16"/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76638"/>
    <w:rsid w:val="000079F0"/>
    <w:rsid w:val="000412D6"/>
    <w:rsid w:val="0004737E"/>
    <w:rsid w:val="00051E1C"/>
    <w:rsid w:val="00060FDD"/>
    <w:rsid w:val="000C270F"/>
    <w:rsid w:val="00114C18"/>
    <w:rsid w:val="00155136"/>
    <w:rsid w:val="00180A5B"/>
    <w:rsid w:val="001A783C"/>
    <w:rsid w:val="001B0B3A"/>
    <w:rsid w:val="001B12F5"/>
    <w:rsid w:val="001C1280"/>
    <w:rsid w:val="001D182D"/>
    <w:rsid w:val="001D6E5C"/>
    <w:rsid w:val="001D70E4"/>
    <w:rsid w:val="00221894"/>
    <w:rsid w:val="00222CDD"/>
    <w:rsid w:val="00234647"/>
    <w:rsid w:val="00250B82"/>
    <w:rsid w:val="002E0826"/>
    <w:rsid w:val="002E5E33"/>
    <w:rsid w:val="003078A7"/>
    <w:rsid w:val="003519E0"/>
    <w:rsid w:val="00364FA6"/>
    <w:rsid w:val="00380BB0"/>
    <w:rsid w:val="003B7655"/>
    <w:rsid w:val="003D5431"/>
    <w:rsid w:val="003E3A01"/>
    <w:rsid w:val="004023AD"/>
    <w:rsid w:val="00426979"/>
    <w:rsid w:val="00433E1A"/>
    <w:rsid w:val="0053454F"/>
    <w:rsid w:val="00565018"/>
    <w:rsid w:val="00567D89"/>
    <w:rsid w:val="0059765B"/>
    <w:rsid w:val="005B4D41"/>
    <w:rsid w:val="005D03FE"/>
    <w:rsid w:val="005D0F25"/>
    <w:rsid w:val="006011FB"/>
    <w:rsid w:val="00612A2A"/>
    <w:rsid w:val="0063048B"/>
    <w:rsid w:val="00630ECD"/>
    <w:rsid w:val="0067516F"/>
    <w:rsid w:val="00693EEB"/>
    <w:rsid w:val="006D70C9"/>
    <w:rsid w:val="006F09F7"/>
    <w:rsid w:val="00720A12"/>
    <w:rsid w:val="00722ECC"/>
    <w:rsid w:val="007377B3"/>
    <w:rsid w:val="00750339"/>
    <w:rsid w:val="0075041D"/>
    <w:rsid w:val="00753D4B"/>
    <w:rsid w:val="008721A0"/>
    <w:rsid w:val="008A4A88"/>
    <w:rsid w:val="008E01DA"/>
    <w:rsid w:val="008E4983"/>
    <w:rsid w:val="00904280"/>
    <w:rsid w:val="009B6899"/>
    <w:rsid w:val="00A126B8"/>
    <w:rsid w:val="00A579C4"/>
    <w:rsid w:val="00A630F8"/>
    <w:rsid w:val="00A90D2B"/>
    <w:rsid w:val="00AA19FD"/>
    <w:rsid w:val="00AB5924"/>
    <w:rsid w:val="00AD248D"/>
    <w:rsid w:val="00AD2FFA"/>
    <w:rsid w:val="00AD68E2"/>
    <w:rsid w:val="00AD70BF"/>
    <w:rsid w:val="00AF0738"/>
    <w:rsid w:val="00AF71E3"/>
    <w:rsid w:val="00B07C93"/>
    <w:rsid w:val="00B24AA5"/>
    <w:rsid w:val="00B41DFE"/>
    <w:rsid w:val="00B91141"/>
    <w:rsid w:val="00B97E74"/>
    <w:rsid w:val="00BD13B7"/>
    <w:rsid w:val="00BD2BC1"/>
    <w:rsid w:val="00BE1E5A"/>
    <w:rsid w:val="00C27D13"/>
    <w:rsid w:val="00C51948"/>
    <w:rsid w:val="00C90CF7"/>
    <w:rsid w:val="00CC4477"/>
    <w:rsid w:val="00D47F0E"/>
    <w:rsid w:val="00D50775"/>
    <w:rsid w:val="00D51315"/>
    <w:rsid w:val="00D76638"/>
    <w:rsid w:val="00DB5726"/>
    <w:rsid w:val="00DC782A"/>
    <w:rsid w:val="00DD490B"/>
    <w:rsid w:val="00E11949"/>
    <w:rsid w:val="00EA243F"/>
    <w:rsid w:val="00EB2C09"/>
    <w:rsid w:val="00EE02E1"/>
    <w:rsid w:val="00F47D02"/>
    <w:rsid w:val="00F666C6"/>
    <w:rsid w:val="00F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Rocchini</dc:creator>
  <cp:lastModifiedBy>Shawn M Firster</cp:lastModifiedBy>
  <cp:revision>2</cp:revision>
  <cp:lastPrinted>2015-11-13T19:40:00Z</cp:lastPrinted>
  <dcterms:created xsi:type="dcterms:W3CDTF">2016-10-18T13:44:00Z</dcterms:created>
  <dcterms:modified xsi:type="dcterms:W3CDTF">2016-10-18T13:44:00Z</dcterms:modified>
</cp:coreProperties>
</file>